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158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58"/>
      </w:tblGrid>
      <w:tr w:rsidR="00BE26DE" w14:paraId="734A556E" w14:textId="77777777" w:rsidTr="00BE26DE">
        <w:tc>
          <w:tcPr>
            <w:tcW w:w="10158" w:type="dxa"/>
          </w:tcPr>
          <w:tbl>
            <w:tblPr>
              <w:tblStyle w:val="Grilledutableau"/>
              <w:tblW w:w="9942" w:type="dxa"/>
              <w:jc w:val="right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83"/>
              <w:gridCol w:w="2930"/>
              <w:gridCol w:w="3729"/>
            </w:tblGrid>
            <w:tr w:rsidR="00BE26DE" w14:paraId="79411C64" w14:textId="77777777" w:rsidTr="009024AF">
              <w:trPr>
                <w:jc w:val="right"/>
              </w:trPr>
              <w:tc>
                <w:tcPr>
                  <w:tcW w:w="3336" w:type="dxa"/>
                  <w:vAlign w:val="center"/>
                </w:tcPr>
                <w:p w14:paraId="2FE5F1B3" w14:textId="77777777" w:rsidR="00BE26DE" w:rsidRDefault="00BE26DE" w:rsidP="009024AF">
                  <w:pPr>
                    <w:ind w:left="-228"/>
                  </w:pPr>
                  <w:r w:rsidRPr="00D24990"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 wp14:anchorId="05BC4EA2" wp14:editId="24213F19">
                        <wp:extent cx="1979274" cy="438150"/>
                        <wp:effectExtent l="0" t="0" r="2540" b="0"/>
                        <wp:docPr id="27" name="Image 27" descr="Une image contenant capture d’écran, Bleu électrique, Police, Bleu Majorelle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" name="Image 27" descr="Une image contenant capture d’écran, Bleu électrique, Police, Bleu Majorelle&#10;&#10;Description générée automatiquement"/>
                                <pic:cNvPicPr/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041623" cy="45195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2" w:type="dxa"/>
                </w:tcPr>
                <w:p w14:paraId="23763021" w14:textId="77777777" w:rsidR="00BE26DE" w:rsidRDefault="00BE26DE" w:rsidP="009024AF">
                  <w:r w:rsidRPr="00FA0753">
                    <w:rPr>
                      <w:rFonts w:eastAsia="Calibri"/>
                      <w:noProof/>
                    </w:rPr>
                    <w:drawing>
                      <wp:inline distT="0" distB="0" distL="0" distR="0" wp14:anchorId="2A7E55EF" wp14:editId="4BB37FF9">
                        <wp:extent cx="1723719" cy="537845"/>
                        <wp:effectExtent l="0" t="0" r="0" b="0"/>
                        <wp:docPr id="28" name="Image 28" descr="Une image contenant Police, logo, Graphique, symbole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8" name="Image 28" descr="Une image contenant Police, logo, Graphique, symbole&#10;&#10;Description générée automatiquement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07397" cy="5639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14" w:type="dxa"/>
                  <w:vAlign w:val="center"/>
                </w:tcPr>
                <w:p w14:paraId="08211C23" w14:textId="77777777" w:rsidR="00BE26DE" w:rsidRDefault="00BE26DE" w:rsidP="009024AF">
                  <w:pPr>
                    <w:tabs>
                      <w:tab w:val="left" w:pos="9923"/>
                    </w:tabs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 wp14:anchorId="40415E9B" wp14:editId="26D73069">
                        <wp:extent cx="1851347" cy="352425"/>
                        <wp:effectExtent l="0" t="0" r="0" b="0"/>
                        <wp:docPr id="29" name="Image 29" descr="Une image contenant Police, Graphique, capture d’écran, cercle&#10;&#10;Description générée automatiquemen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age 1" descr="Une image contenant Police, Graphique, capture d’écran, cercle&#10;&#10;Description générée automatiquement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95024" cy="3607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1EB1293" w14:textId="77777777" w:rsidR="00BE26DE" w:rsidRDefault="00BE26DE" w:rsidP="009024AF">
            <w:pPr>
              <w:pStyle w:val="En-tte"/>
            </w:pPr>
          </w:p>
        </w:tc>
      </w:tr>
    </w:tbl>
    <w:p w14:paraId="634204B5" w14:textId="77777777" w:rsidR="0053560E" w:rsidRDefault="0053560E">
      <w:pPr>
        <w:pStyle w:val="Titre"/>
        <w:spacing w:before="78"/>
        <w:rPr>
          <w:color w:val="2E5496"/>
        </w:rPr>
      </w:pPr>
    </w:p>
    <w:p w14:paraId="02450393" w14:textId="195B6BC4" w:rsidR="006B5A52" w:rsidRDefault="004C2322">
      <w:pPr>
        <w:pStyle w:val="Titre"/>
        <w:spacing w:before="78"/>
      </w:pPr>
      <w:r>
        <w:rPr>
          <w:color w:val="2E5496"/>
        </w:rPr>
        <w:t>Annexe</w:t>
      </w:r>
      <w:r>
        <w:rPr>
          <w:color w:val="2E5496"/>
          <w:spacing w:val="-3"/>
        </w:rPr>
        <w:t xml:space="preserve"> </w:t>
      </w:r>
      <w:r w:rsidR="000710D7">
        <w:rPr>
          <w:color w:val="2E5496"/>
          <w:spacing w:val="-3"/>
        </w:rPr>
        <w:t>8</w:t>
      </w:r>
      <w:r>
        <w:rPr>
          <w:color w:val="2E5496"/>
          <w:spacing w:val="-6"/>
        </w:rPr>
        <w:t xml:space="preserve"> </w:t>
      </w:r>
      <w:r>
        <w:rPr>
          <w:color w:val="2E5496"/>
        </w:rPr>
        <w:t>–</w:t>
      </w:r>
      <w:r>
        <w:rPr>
          <w:color w:val="2E5496"/>
          <w:spacing w:val="-2"/>
        </w:rPr>
        <w:t xml:space="preserve"> </w:t>
      </w:r>
      <w:r>
        <w:rPr>
          <w:color w:val="2E5496"/>
        </w:rPr>
        <w:t>Règles</w:t>
      </w:r>
      <w:r>
        <w:rPr>
          <w:color w:val="2E5496"/>
          <w:spacing w:val="-2"/>
        </w:rPr>
        <w:t xml:space="preserve"> </w:t>
      </w:r>
      <w:r>
        <w:rPr>
          <w:color w:val="2E5496"/>
        </w:rPr>
        <w:t>relatives</w:t>
      </w:r>
      <w:r>
        <w:rPr>
          <w:color w:val="2E5496"/>
          <w:spacing w:val="-3"/>
        </w:rPr>
        <w:t xml:space="preserve"> </w:t>
      </w:r>
      <w:r>
        <w:rPr>
          <w:color w:val="2E5496"/>
        </w:rPr>
        <w:t>aux</w:t>
      </w:r>
      <w:r>
        <w:rPr>
          <w:color w:val="2E5496"/>
          <w:spacing w:val="-3"/>
        </w:rPr>
        <w:t xml:space="preserve"> </w:t>
      </w:r>
      <w:r>
        <w:rPr>
          <w:color w:val="2E5496"/>
          <w:spacing w:val="-2"/>
        </w:rPr>
        <w:t>activités</w:t>
      </w:r>
    </w:p>
    <w:p w14:paraId="2CA6C24B" w14:textId="77777777" w:rsidR="006B5A52" w:rsidRDefault="004C2322">
      <w:pPr>
        <w:pStyle w:val="Titre"/>
        <w:ind w:right="1812"/>
      </w:pPr>
      <w:proofErr w:type="gramStart"/>
      <w:r>
        <w:rPr>
          <w:color w:val="2E5496"/>
        </w:rPr>
        <w:t>de</w:t>
      </w:r>
      <w:proofErr w:type="gramEnd"/>
      <w:r>
        <w:rPr>
          <w:color w:val="2E5496"/>
          <w:spacing w:val="-3"/>
        </w:rPr>
        <w:t xml:space="preserve"> </w:t>
      </w:r>
      <w:r>
        <w:rPr>
          <w:color w:val="2E5496"/>
        </w:rPr>
        <w:t>visibilité,</w:t>
      </w:r>
      <w:r>
        <w:rPr>
          <w:color w:val="2E5496"/>
          <w:spacing w:val="-3"/>
        </w:rPr>
        <w:t xml:space="preserve"> </w:t>
      </w:r>
      <w:r>
        <w:rPr>
          <w:color w:val="2E5496"/>
        </w:rPr>
        <w:t>de</w:t>
      </w:r>
      <w:r>
        <w:rPr>
          <w:color w:val="2E5496"/>
          <w:spacing w:val="-3"/>
        </w:rPr>
        <w:t xml:space="preserve"> </w:t>
      </w:r>
      <w:r>
        <w:rPr>
          <w:color w:val="2E5496"/>
        </w:rPr>
        <w:t>transparence</w:t>
      </w:r>
      <w:r>
        <w:rPr>
          <w:color w:val="2E5496"/>
          <w:spacing w:val="-4"/>
        </w:rPr>
        <w:t xml:space="preserve"> </w:t>
      </w:r>
      <w:r>
        <w:rPr>
          <w:color w:val="2E5496"/>
        </w:rPr>
        <w:t>et</w:t>
      </w:r>
      <w:r>
        <w:rPr>
          <w:color w:val="2E5496"/>
          <w:spacing w:val="-3"/>
        </w:rPr>
        <w:t xml:space="preserve"> </w:t>
      </w:r>
      <w:r>
        <w:rPr>
          <w:color w:val="2E5496"/>
        </w:rPr>
        <w:t>de</w:t>
      </w:r>
      <w:r>
        <w:rPr>
          <w:color w:val="2E5496"/>
          <w:spacing w:val="-4"/>
        </w:rPr>
        <w:t xml:space="preserve"> </w:t>
      </w:r>
      <w:r>
        <w:rPr>
          <w:color w:val="2E5496"/>
          <w:spacing w:val="-2"/>
        </w:rPr>
        <w:t>communication</w:t>
      </w:r>
    </w:p>
    <w:p w14:paraId="14789151" w14:textId="77777777" w:rsidR="006B5A52" w:rsidRDefault="006B5A52">
      <w:pPr>
        <w:pStyle w:val="Corpsdetexte"/>
        <w:spacing w:before="1"/>
        <w:rPr>
          <w:b/>
        </w:rPr>
      </w:pPr>
    </w:p>
    <w:p w14:paraId="72443111" w14:textId="77777777" w:rsidR="003A4305" w:rsidRPr="003A4305" w:rsidRDefault="003A4305">
      <w:pPr>
        <w:pStyle w:val="Paragraphedeliste"/>
        <w:numPr>
          <w:ilvl w:val="0"/>
          <w:numId w:val="1"/>
        </w:numPr>
        <w:tabs>
          <w:tab w:val="left" w:pos="1034"/>
          <w:tab w:val="left" w:pos="1036"/>
        </w:tabs>
        <w:ind w:right="113"/>
        <w:jc w:val="both"/>
      </w:pPr>
      <w:r w:rsidRPr="003A4305">
        <w:t>Lorsqu’ils exercent des activités de visibilité, de transparence et de communication, les États membres, les autorités de gestion et les bénéficiaires utilisent l’emblème de l’Union conformément à l’annexe IX.</w:t>
      </w:r>
    </w:p>
    <w:p w14:paraId="5E29856F" w14:textId="77777777" w:rsidR="003A4305" w:rsidRPr="003A4305" w:rsidRDefault="003A4305" w:rsidP="003A4305">
      <w:pPr>
        <w:tabs>
          <w:tab w:val="left" w:pos="1034"/>
          <w:tab w:val="left" w:pos="1036"/>
        </w:tabs>
        <w:ind w:left="676" w:right="113"/>
        <w:jc w:val="both"/>
      </w:pPr>
    </w:p>
    <w:p w14:paraId="706B8147" w14:textId="23403BD5" w:rsidR="006B5A52" w:rsidRDefault="004C2322">
      <w:pPr>
        <w:pStyle w:val="Paragraphedeliste"/>
        <w:numPr>
          <w:ilvl w:val="0"/>
          <w:numId w:val="1"/>
        </w:numPr>
        <w:tabs>
          <w:tab w:val="left" w:pos="1034"/>
          <w:tab w:val="left" w:pos="1036"/>
        </w:tabs>
        <w:ind w:right="113"/>
        <w:jc w:val="both"/>
      </w:pPr>
      <w:r>
        <w:t>Les bénéficiaires font mention du soutien octroyé par les Fonds à l’opération, y compris des ressources réutilisées :</w:t>
      </w:r>
    </w:p>
    <w:p w14:paraId="674B6B1D" w14:textId="77777777" w:rsidR="006B5A52" w:rsidRDefault="006B5A52">
      <w:pPr>
        <w:pStyle w:val="Corpsdetexte"/>
        <w:spacing w:before="11"/>
        <w:rPr>
          <w:sz w:val="21"/>
        </w:rPr>
      </w:pPr>
    </w:p>
    <w:p w14:paraId="53592E25" w14:textId="77777777" w:rsidR="006B5A52" w:rsidRDefault="004C2322">
      <w:pPr>
        <w:pStyle w:val="Paragraphedeliste"/>
        <w:numPr>
          <w:ilvl w:val="1"/>
          <w:numId w:val="1"/>
        </w:numPr>
        <w:tabs>
          <w:tab w:val="left" w:pos="1394"/>
          <w:tab w:val="left" w:pos="1396"/>
        </w:tabs>
        <w:ind w:right="116"/>
        <w:jc w:val="both"/>
      </w:pPr>
      <w:proofErr w:type="gramStart"/>
      <w:r>
        <w:rPr>
          <w:spacing w:val="-2"/>
        </w:rPr>
        <w:t>en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fournissant</w:t>
      </w:r>
      <w:r>
        <w:rPr>
          <w:spacing w:val="-10"/>
        </w:rPr>
        <w:t xml:space="preserve"> </w:t>
      </w:r>
      <w:r>
        <w:rPr>
          <w:spacing w:val="-2"/>
        </w:rPr>
        <w:t>sur</w:t>
      </w:r>
      <w:r>
        <w:rPr>
          <w:spacing w:val="-8"/>
        </w:rPr>
        <w:t xml:space="preserve"> </w:t>
      </w:r>
      <w:r>
        <w:rPr>
          <w:spacing w:val="-2"/>
        </w:rPr>
        <w:t>leur</w:t>
      </w:r>
      <w:r>
        <w:rPr>
          <w:spacing w:val="-7"/>
        </w:rPr>
        <w:t xml:space="preserve"> </w:t>
      </w:r>
      <w:r>
        <w:rPr>
          <w:spacing w:val="-2"/>
        </w:rPr>
        <w:t>site</w:t>
      </w:r>
      <w:r>
        <w:rPr>
          <w:spacing w:val="-6"/>
        </w:rPr>
        <w:t xml:space="preserve"> </w:t>
      </w:r>
      <w:r>
        <w:rPr>
          <w:spacing w:val="-2"/>
        </w:rPr>
        <w:t>internet,</w:t>
      </w:r>
      <w:r>
        <w:rPr>
          <w:spacing w:val="-7"/>
        </w:rPr>
        <w:t xml:space="preserve"> </w:t>
      </w:r>
      <w:r>
        <w:rPr>
          <w:spacing w:val="-2"/>
        </w:rPr>
        <w:t>si</w:t>
      </w:r>
      <w:r>
        <w:rPr>
          <w:spacing w:val="-7"/>
        </w:rPr>
        <w:t xml:space="preserve"> </w:t>
      </w:r>
      <w:r>
        <w:rPr>
          <w:spacing w:val="-2"/>
        </w:rPr>
        <w:t>un</w:t>
      </w:r>
      <w:r>
        <w:rPr>
          <w:spacing w:val="-12"/>
        </w:rPr>
        <w:t xml:space="preserve"> </w:t>
      </w:r>
      <w:r>
        <w:rPr>
          <w:spacing w:val="-2"/>
        </w:rPr>
        <w:t>tel</w:t>
      </w:r>
      <w:r>
        <w:rPr>
          <w:spacing w:val="-7"/>
        </w:rPr>
        <w:t xml:space="preserve"> </w:t>
      </w:r>
      <w:r>
        <w:rPr>
          <w:spacing w:val="-2"/>
        </w:rPr>
        <w:t>site</w:t>
      </w:r>
      <w:r>
        <w:rPr>
          <w:spacing w:val="-6"/>
        </w:rPr>
        <w:t xml:space="preserve"> </w:t>
      </w:r>
      <w:r>
        <w:rPr>
          <w:spacing w:val="-2"/>
        </w:rPr>
        <w:t>existe,</w:t>
      </w:r>
      <w:r>
        <w:rPr>
          <w:spacing w:val="-7"/>
        </w:rPr>
        <w:t xml:space="preserve"> </w:t>
      </w:r>
      <w:r>
        <w:rPr>
          <w:spacing w:val="-2"/>
        </w:rPr>
        <w:t>et</w:t>
      </w:r>
      <w:r>
        <w:rPr>
          <w:spacing w:val="-7"/>
        </w:rPr>
        <w:t xml:space="preserve"> </w:t>
      </w:r>
      <w:r>
        <w:rPr>
          <w:spacing w:val="-2"/>
        </w:rPr>
        <w:t>leurs</w:t>
      </w:r>
      <w:r>
        <w:rPr>
          <w:spacing w:val="-8"/>
        </w:rPr>
        <w:t xml:space="preserve"> </w:t>
      </w:r>
      <w:r>
        <w:rPr>
          <w:spacing w:val="-2"/>
        </w:rPr>
        <w:t>sites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-12"/>
        </w:rPr>
        <w:t xml:space="preserve"> </w:t>
      </w:r>
      <w:r>
        <w:rPr>
          <w:spacing w:val="-2"/>
        </w:rPr>
        <w:t>médias</w:t>
      </w:r>
      <w:r>
        <w:rPr>
          <w:spacing w:val="-6"/>
        </w:rPr>
        <w:t xml:space="preserve"> </w:t>
      </w:r>
      <w:r>
        <w:rPr>
          <w:spacing w:val="-2"/>
        </w:rPr>
        <w:t xml:space="preserve">sociaux, </w:t>
      </w:r>
      <w:r>
        <w:t>une description succincte de l’opération, en rapport avec le niveau du soutien, y compris sa finalité et ses résultats, qui</w:t>
      </w:r>
      <w:r>
        <w:rPr>
          <w:spacing w:val="-1"/>
        </w:rPr>
        <w:t xml:space="preserve"> </w:t>
      </w:r>
      <w:r>
        <w:t>met en lumière le soutien financier de l’Union ;</w:t>
      </w:r>
    </w:p>
    <w:p w14:paraId="1F4C2FE3" w14:textId="77777777" w:rsidR="006B5A52" w:rsidRDefault="006B5A52">
      <w:pPr>
        <w:pStyle w:val="Corpsdetexte"/>
        <w:spacing w:before="1"/>
      </w:pPr>
    </w:p>
    <w:p w14:paraId="48D5E743" w14:textId="77777777" w:rsidR="006B5A52" w:rsidRDefault="004C2322">
      <w:pPr>
        <w:pStyle w:val="Paragraphedeliste"/>
        <w:numPr>
          <w:ilvl w:val="1"/>
          <w:numId w:val="1"/>
        </w:numPr>
        <w:tabs>
          <w:tab w:val="left" w:pos="1394"/>
          <w:tab w:val="left" w:pos="1396"/>
        </w:tabs>
        <w:ind w:right="115"/>
        <w:jc w:val="both"/>
      </w:pPr>
      <w:proofErr w:type="gramStart"/>
      <w:r>
        <w:t>en</w:t>
      </w:r>
      <w:proofErr w:type="gramEnd"/>
      <w:r>
        <w:t xml:space="preserve"> apposant de manière visible une mention mettant en avant le soutien octroyé par l’Union</w:t>
      </w:r>
      <w:r>
        <w:rPr>
          <w:spacing w:val="-2"/>
        </w:rPr>
        <w:t xml:space="preserve"> </w:t>
      </w:r>
      <w:r>
        <w:t>sur</w:t>
      </w:r>
      <w:r>
        <w:rPr>
          <w:spacing w:val="-1"/>
        </w:rPr>
        <w:t xml:space="preserve"> </w:t>
      </w:r>
      <w:r>
        <w:t>les</w:t>
      </w:r>
      <w:r>
        <w:rPr>
          <w:spacing w:val="-2"/>
        </w:rPr>
        <w:t xml:space="preserve"> </w:t>
      </w:r>
      <w:r>
        <w:t>documents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matériel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relatifs</w:t>
      </w:r>
      <w:r>
        <w:rPr>
          <w:spacing w:val="-1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mise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œuvre d’une opération qui sont destinés au public ou aux participants ;</w:t>
      </w:r>
    </w:p>
    <w:p w14:paraId="5115E056" w14:textId="77777777" w:rsidR="006B5A52" w:rsidRDefault="006B5A52">
      <w:pPr>
        <w:pStyle w:val="Corpsdetexte"/>
        <w:spacing w:before="10"/>
        <w:rPr>
          <w:sz w:val="21"/>
        </w:rPr>
      </w:pPr>
    </w:p>
    <w:p w14:paraId="4F4C2BC4" w14:textId="77777777" w:rsidR="006B5A52" w:rsidRDefault="004C2322">
      <w:pPr>
        <w:pStyle w:val="Paragraphedeliste"/>
        <w:numPr>
          <w:ilvl w:val="1"/>
          <w:numId w:val="1"/>
        </w:numPr>
        <w:tabs>
          <w:tab w:val="left" w:pos="1396"/>
        </w:tabs>
        <w:jc w:val="both"/>
      </w:pPr>
      <w:r>
        <w:t>en apposant des plaques ou des panneaux d’affichage permanents bien visibles du public,</w:t>
      </w:r>
      <w:r>
        <w:rPr>
          <w:spacing w:val="-4"/>
        </w:rPr>
        <w:t xml:space="preserve"> </w:t>
      </w:r>
      <w:r>
        <w:t>présentant</w:t>
      </w:r>
      <w:r>
        <w:rPr>
          <w:spacing w:val="-6"/>
        </w:rPr>
        <w:t xml:space="preserve"> </w:t>
      </w:r>
      <w:r>
        <w:t>l’emblème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l’Union</w:t>
      </w:r>
      <w:r>
        <w:rPr>
          <w:spacing w:val="-5"/>
        </w:rPr>
        <w:t xml:space="preserve"> </w:t>
      </w:r>
      <w:r>
        <w:t>(cf.</w:t>
      </w:r>
      <w:r>
        <w:rPr>
          <w:spacing w:val="-6"/>
        </w:rPr>
        <w:t xml:space="preserve"> </w:t>
      </w:r>
      <w:r>
        <w:t>annexe</w:t>
      </w:r>
      <w:r>
        <w:rPr>
          <w:spacing w:val="-5"/>
        </w:rPr>
        <w:t xml:space="preserve"> </w:t>
      </w:r>
      <w:r>
        <w:t>IX</w:t>
      </w:r>
      <w:r>
        <w:rPr>
          <w:spacing w:val="-5"/>
        </w:rPr>
        <w:t xml:space="preserve"> </w:t>
      </w:r>
      <w:r>
        <w:t>du</w:t>
      </w:r>
      <w:r>
        <w:rPr>
          <w:spacing w:val="-6"/>
        </w:rPr>
        <w:t xml:space="preserve"> </w:t>
      </w:r>
      <w:hyperlink r:id="rId10">
        <w:r>
          <w:rPr>
            <w:color w:val="0000FF"/>
            <w:u w:val="single" w:color="0000FF"/>
          </w:rPr>
          <w:t>règlement</w:t>
        </w:r>
        <w:r>
          <w:rPr>
            <w:color w:val="0000FF"/>
            <w:spacing w:val="-6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UE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2021/1060</w:t>
        </w:r>
      </w:hyperlink>
      <w:r>
        <w:rPr>
          <w:color w:val="0000FF"/>
          <w:spacing w:val="-4"/>
        </w:rPr>
        <w:t xml:space="preserve"> </w:t>
      </w:r>
      <w:r>
        <w:t>du Parlement</w:t>
      </w:r>
      <w:r>
        <w:rPr>
          <w:spacing w:val="-3"/>
        </w:rPr>
        <w:t xml:space="preserve"> </w:t>
      </w:r>
      <w:r>
        <w:t>européen</w:t>
      </w:r>
      <w:r>
        <w:rPr>
          <w:spacing w:val="-4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Conseil</w:t>
      </w:r>
      <w:r>
        <w:rPr>
          <w:spacing w:val="-3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24</w:t>
      </w:r>
      <w:r>
        <w:rPr>
          <w:spacing w:val="-4"/>
        </w:rPr>
        <w:t xml:space="preserve"> </w:t>
      </w:r>
      <w:r>
        <w:t>juin</w:t>
      </w:r>
      <w:r>
        <w:rPr>
          <w:spacing w:val="-3"/>
        </w:rPr>
        <w:t xml:space="preserve"> </w:t>
      </w:r>
      <w:r>
        <w:t>2021,</w:t>
      </w:r>
      <w:r>
        <w:rPr>
          <w:spacing w:val="-1"/>
        </w:rPr>
        <w:t xml:space="preserve"> </w:t>
      </w:r>
      <w:r>
        <w:t>portant</w:t>
      </w:r>
      <w:r>
        <w:rPr>
          <w:spacing w:val="-1"/>
        </w:rPr>
        <w:t xml:space="preserve"> </w:t>
      </w:r>
      <w:r>
        <w:t>dispositions</w:t>
      </w:r>
      <w:r>
        <w:rPr>
          <w:spacing w:val="-4"/>
        </w:rPr>
        <w:t xml:space="preserve"> </w:t>
      </w:r>
      <w:r>
        <w:t>communes</w:t>
      </w:r>
      <w:r>
        <w:rPr>
          <w:spacing w:val="-4"/>
        </w:rPr>
        <w:t xml:space="preserve"> </w:t>
      </w:r>
      <w:r>
        <w:t>dit "RPDC"), dès que la réalisation physique d’opérations comprenant des investissements matériels commence ou que les équipements achetés sont installés, en ce qui concerne les opérations soutenues par le FSE+, dont le coût total est supérieur à 100 000 euros ;</w:t>
      </w:r>
    </w:p>
    <w:p w14:paraId="3837E6F4" w14:textId="77777777" w:rsidR="006B5A52" w:rsidRDefault="006B5A52">
      <w:pPr>
        <w:pStyle w:val="Corpsdetexte"/>
        <w:spacing w:before="2"/>
      </w:pPr>
    </w:p>
    <w:p w14:paraId="53A3F5EE" w14:textId="77777777" w:rsidR="006B5A52" w:rsidRDefault="004C2322">
      <w:pPr>
        <w:pStyle w:val="Paragraphedeliste"/>
        <w:numPr>
          <w:ilvl w:val="1"/>
          <w:numId w:val="1"/>
        </w:numPr>
        <w:tabs>
          <w:tab w:val="left" w:pos="1394"/>
          <w:tab w:val="left" w:pos="1396"/>
        </w:tabs>
        <w:jc w:val="both"/>
      </w:pPr>
      <w:r>
        <w:t>en apposant, en un lieu bien visible du public, pour les opérations ne relevant pas du point</w:t>
      </w:r>
      <w:r>
        <w:rPr>
          <w:spacing w:val="-1"/>
        </w:rPr>
        <w:t xml:space="preserve"> </w:t>
      </w:r>
      <w:r>
        <w:t>c), au</w:t>
      </w:r>
      <w:r>
        <w:rPr>
          <w:spacing w:val="-4"/>
        </w:rPr>
        <w:t xml:space="preserve"> </w:t>
      </w:r>
      <w:r>
        <w:t>moins</w:t>
      </w:r>
      <w:r>
        <w:rPr>
          <w:spacing w:val="-2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affiche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format A3</w:t>
      </w:r>
      <w:r>
        <w:rPr>
          <w:spacing w:val="-2"/>
        </w:rPr>
        <w:t xml:space="preserve"> </w:t>
      </w:r>
      <w:r>
        <w:t>au</w:t>
      </w:r>
      <w:r>
        <w:rPr>
          <w:spacing w:val="-4"/>
        </w:rPr>
        <w:t xml:space="preserve"> </w:t>
      </w:r>
      <w:r>
        <w:t>minimum,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affichage électronique équivalent,</w:t>
      </w:r>
      <w:r>
        <w:rPr>
          <w:spacing w:val="-1"/>
        </w:rPr>
        <w:t xml:space="preserve"> </w:t>
      </w:r>
      <w:r>
        <w:t>présentant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l’opération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mettent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avant</w:t>
      </w:r>
      <w:r>
        <w:rPr>
          <w:spacing w:val="-2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soutien octroyé</w:t>
      </w:r>
      <w:r>
        <w:rPr>
          <w:spacing w:val="-16"/>
        </w:rPr>
        <w:t xml:space="preserve"> </w:t>
      </w:r>
      <w:r>
        <w:t>par</w:t>
      </w:r>
      <w:r>
        <w:rPr>
          <w:spacing w:val="-15"/>
        </w:rPr>
        <w:t xml:space="preserve"> </w:t>
      </w:r>
      <w:r>
        <w:t>les</w:t>
      </w:r>
      <w:r>
        <w:rPr>
          <w:spacing w:val="-15"/>
        </w:rPr>
        <w:t xml:space="preserve"> </w:t>
      </w:r>
      <w:r>
        <w:t>Fonds</w:t>
      </w:r>
      <w:r>
        <w:rPr>
          <w:spacing w:val="-16"/>
        </w:rPr>
        <w:t xml:space="preserve"> </w:t>
      </w:r>
      <w:r>
        <w:t>;</w:t>
      </w:r>
      <w:r>
        <w:rPr>
          <w:spacing w:val="-4"/>
        </w:rPr>
        <w:t xml:space="preserve"> </w:t>
      </w:r>
      <w:r>
        <w:t>lorsque</w:t>
      </w:r>
      <w:r>
        <w:rPr>
          <w:spacing w:val="-16"/>
        </w:rPr>
        <w:t xml:space="preserve"> </w:t>
      </w:r>
      <w:r>
        <w:t>le</w:t>
      </w:r>
      <w:r>
        <w:rPr>
          <w:spacing w:val="-15"/>
        </w:rPr>
        <w:t xml:space="preserve"> </w:t>
      </w:r>
      <w:r>
        <w:t>bénéficiaire</w:t>
      </w:r>
      <w:r>
        <w:rPr>
          <w:spacing w:val="-15"/>
        </w:rPr>
        <w:t xml:space="preserve"> </w:t>
      </w:r>
      <w:r>
        <w:t>est</w:t>
      </w:r>
      <w:r>
        <w:rPr>
          <w:spacing w:val="-15"/>
        </w:rPr>
        <w:t xml:space="preserve"> </w:t>
      </w:r>
      <w:r>
        <w:t>une</w:t>
      </w:r>
      <w:r>
        <w:rPr>
          <w:spacing w:val="-16"/>
        </w:rPr>
        <w:t xml:space="preserve"> </w:t>
      </w:r>
      <w:r>
        <w:t>personne</w:t>
      </w:r>
      <w:r>
        <w:rPr>
          <w:spacing w:val="-15"/>
        </w:rPr>
        <w:t xml:space="preserve"> </w:t>
      </w:r>
      <w:r>
        <w:t>physique,</w:t>
      </w:r>
      <w:r>
        <w:rPr>
          <w:spacing w:val="-15"/>
        </w:rPr>
        <w:t xml:space="preserve"> </w:t>
      </w:r>
      <w:r>
        <w:t>il</w:t>
      </w:r>
      <w:r>
        <w:rPr>
          <w:spacing w:val="-16"/>
        </w:rPr>
        <w:t xml:space="preserve"> </w:t>
      </w:r>
      <w:r>
        <w:t>veille,</w:t>
      </w:r>
      <w:r>
        <w:rPr>
          <w:spacing w:val="-14"/>
        </w:rPr>
        <w:t xml:space="preserve"> </w:t>
      </w:r>
      <w:r>
        <w:t>dans la mesure du possible, à ce que des informations appropriées soient disponibles, qui mettent en avant le soutien octroyé par les Fonds, en un lieu visible du public ou au moyen d’un affichage électronique;</w:t>
      </w:r>
    </w:p>
    <w:p w14:paraId="541E9CC0" w14:textId="77777777" w:rsidR="006B5A52" w:rsidRDefault="006B5A52">
      <w:pPr>
        <w:pStyle w:val="Corpsdetexte"/>
      </w:pPr>
    </w:p>
    <w:p w14:paraId="3570642B" w14:textId="77777777" w:rsidR="006B5A52" w:rsidRDefault="004C2322">
      <w:pPr>
        <w:pStyle w:val="Paragraphedeliste"/>
        <w:numPr>
          <w:ilvl w:val="1"/>
          <w:numId w:val="1"/>
        </w:numPr>
        <w:tabs>
          <w:tab w:val="left" w:pos="1394"/>
          <w:tab w:val="left" w:pos="1396"/>
        </w:tabs>
        <w:ind w:right="112"/>
        <w:jc w:val="both"/>
      </w:pPr>
      <w:proofErr w:type="gramStart"/>
      <w:r>
        <w:t>pour</w:t>
      </w:r>
      <w:proofErr w:type="gramEnd"/>
      <w:r>
        <w:t xml:space="preserve"> les opérations d’importance stratégique et les opérations dont le coût total dépasse 10 000 000 euros, en organisant une action ou activité de communication, selon le cas, et en y associant en temps utile la Région Île-de-France et la </w:t>
      </w:r>
      <w:r>
        <w:rPr>
          <w:spacing w:val="-2"/>
        </w:rPr>
        <w:t>Commission.</w:t>
      </w:r>
    </w:p>
    <w:p w14:paraId="33BF871C" w14:textId="77777777" w:rsidR="006B5A52" w:rsidRDefault="006B5A52">
      <w:pPr>
        <w:pStyle w:val="Corpsdetexte"/>
      </w:pPr>
    </w:p>
    <w:p w14:paraId="55AF0D92" w14:textId="77777777" w:rsidR="006B5A52" w:rsidRDefault="004C2322">
      <w:pPr>
        <w:pStyle w:val="Corpsdetexte"/>
        <w:ind w:left="676" w:right="111"/>
        <w:jc w:val="both"/>
      </w:pPr>
      <w:r>
        <w:t>Lorsque</w:t>
      </w:r>
      <w:r>
        <w:rPr>
          <w:spacing w:val="-11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bénéficiaire</w:t>
      </w:r>
      <w:r>
        <w:rPr>
          <w:spacing w:val="-14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FSE+</w:t>
      </w:r>
      <w:r>
        <w:rPr>
          <w:spacing w:val="-13"/>
        </w:rPr>
        <w:t xml:space="preserve"> </w:t>
      </w:r>
      <w:r>
        <w:t>est</w:t>
      </w:r>
      <w:r>
        <w:rPr>
          <w:spacing w:val="-13"/>
        </w:rPr>
        <w:t xml:space="preserve"> </w:t>
      </w:r>
      <w:r>
        <w:t>une</w:t>
      </w:r>
      <w:r>
        <w:rPr>
          <w:spacing w:val="-14"/>
        </w:rPr>
        <w:t xml:space="preserve"> </w:t>
      </w:r>
      <w:r>
        <w:t>personne</w:t>
      </w:r>
      <w:r>
        <w:rPr>
          <w:spacing w:val="-11"/>
        </w:rPr>
        <w:t xml:space="preserve"> </w:t>
      </w:r>
      <w:r>
        <w:t>physique</w:t>
      </w:r>
      <w:r>
        <w:rPr>
          <w:spacing w:val="-14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pour</w:t>
      </w:r>
      <w:r>
        <w:rPr>
          <w:spacing w:val="-12"/>
        </w:rPr>
        <w:t xml:space="preserve"> </w:t>
      </w:r>
      <w:r>
        <w:t>les</w:t>
      </w:r>
      <w:r>
        <w:rPr>
          <w:spacing w:val="-11"/>
        </w:rPr>
        <w:t xml:space="preserve"> </w:t>
      </w:r>
      <w:r>
        <w:t>opérations</w:t>
      </w:r>
      <w:r>
        <w:rPr>
          <w:spacing w:val="-14"/>
        </w:rPr>
        <w:t xml:space="preserve"> </w:t>
      </w:r>
      <w:r>
        <w:t>bénéficiant d’un soutien au titre de l’objectif spécifique défini à l’article 4, paragraphe 1, point</w:t>
      </w:r>
      <w:r>
        <w:rPr>
          <w:spacing w:val="-1"/>
        </w:rPr>
        <w:t xml:space="preserve"> </w:t>
      </w:r>
      <w:r>
        <w:t>m), du règlement FSE+ (</w:t>
      </w:r>
      <w:hyperlink r:id="rId11">
        <w:r>
          <w:rPr>
            <w:color w:val="0000FF"/>
            <w:u w:val="single" w:color="0000FF"/>
          </w:rPr>
          <w:t>règlement UE 2021/1057</w:t>
        </w:r>
      </w:hyperlink>
      <w:r>
        <w:rPr>
          <w:color w:val="0000FF"/>
        </w:rPr>
        <w:t xml:space="preserve"> </w:t>
      </w:r>
      <w:r>
        <w:t>du Parlement européen et du Conseil du 24 juin 2021 instituant le Fonds social européen plus (FSE+) et abrogeant le règlement UE n°1296/2013), l’obligation énoncée au point d) du premier alinéa ne s’applique pas.</w:t>
      </w:r>
    </w:p>
    <w:p w14:paraId="37A8700F" w14:textId="77777777" w:rsidR="006B5A52" w:rsidRDefault="006B5A52">
      <w:pPr>
        <w:pStyle w:val="Corpsdetexte"/>
        <w:spacing w:before="10"/>
        <w:rPr>
          <w:sz w:val="21"/>
        </w:rPr>
      </w:pPr>
    </w:p>
    <w:p w14:paraId="53DFB701" w14:textId="77777777" w:rsidR="006B5A52" w:rsidRDefault="004C2322">
      <w:pPr>
        <w:pStyle w:val="Paragraphedeliste"/>
        <w:numPr>
          <w:ilvl w:val="0"/>
          <w:numId w:val="1"/>
        </w:numPr>
        <w:tabs>
          <w:tab w:val="left" w:pos="1034"/>
          <w:tab w:val="left" w:pos="1036"/>
        </w:tabs>
        <w:spacing w:before="1"/>
        <w:ind w:right="113"/>
        <w:jc w:val="both"/>
      </w:pPr>
      <w:r>
        <w:t>En</w:t>
      </w:r>
      <w:r>
        <w:rPr>
          <w:spacing w:val="-11"/>
        </w:rPr>
        <w:t xml:space="preserve"> </w:t>
      </w:r>
      <w:r>
        <w:t>ce</w:t>
      </w:r>
      <w:r>
        <w:rPr>
          <w:spacing w:val="-11"/>
        </w:rPr>
        <w:t xml:space="preserve"> </w:t>
      </w:r>
      <w:r>
        <w:t>qui</w:t>
      </w:r>
      <w:r>
        <w:rPr>
          <w:spacing w:val="-12"/>
        </w:rPr>
        <w:t xml:space="preserve"> </w:t>
      </w:r>
      <w:r>
        <w:t>concerne</w:t>
      </w:r>
      <w:r>
        <w:rPr>
          <w:spacing w:val="-11"/>
        </w:rPr>
        <w:t xml:space="preserve"> </w:t>
      </w:r>
      <w:r>
        <w:t>les</w:t>
      </w:r>
      <w:r>
        <w:rPr>
          <w:spacing w:val="-11"/>
        </w:rPr>
        <w:t xml:space="preserve"> </w:t>
      </w:r>
      <w:r>
        <w:t>fonds</w:t>
      </w:r>
      <w:r>
        <w:rPr>
          <w:spacing w:val="-11"/>
        </w:rPr>
        <w:t xml:space="preserve"> </w:t>
      </w:r>
      <w:r>
        <w:t>pour</w:t>
      </w:r>
      <w:r>
        <w:rPr>
          <w:spacing w:val="-10"/>
        </w:rPr>
        <w:t xml:space="preserve"> </w:t>
      </w:r>
      <w:r>
        <w:t>petits</w:t>
      </w:r>
      <w:r>
        <w:rPr>
          <w:spacing w:val="-11"/>
        </w:rPr>
        <w:t xml:space="preserve"> </w:t>
      </w:r>
      <w:r>
        <w:t>projets,</w:t>
      </w:r>
      <w:r>
        <w:rPr>
          <w:spacing w:val="-10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bénéficiaire</w:t>
      </w:r>
      <w:r>
        <w:rPr>
          <w:spacing w:val="-11"/>
        </w:rPr>
        <w:t xml:space="preserve"> </w:t>
      </w:r>
      <w:r>
        <w:t>respecte</w:t>
      </w:r>
      <w:r>
        <w:rPr>
          <w:spacing w:val="-11"/>
        </w:rPr>
        <w:t xml:space="preserve"> </w:t>
      </w:r>
      <w:r>
        <w:t>les</w:t>
      </w:r>
      <w:r>
        <w:rPr>
          <w:spacing w:val="-11"/>
        </w:rPr>
        <w:t xml:space="preserve"> </w:t>
      </w:r>
      <w:r>
        <w:t>obligations</w:t>
      </w:r>
      <w:r>
        <w:rPr>
          <w:spacing w:val="-11"/>
        </w:rPr>
        <w:t xml:space="preserve"> </w:t>
      </w:r>
      <w:r>
        <w:t>qui lui incombent. En ce qui concerne les instruments financiers, le bénéficiaire s’assure au moyen</w:t>
      </w:r>
      <w:r>
        <w:rPr>
          <w:spacing w:val="-7"/>
        </w:rPr>
        <w:t xml:space="preserve"> </w:t>
      </w:r>
      <w:r>
        <w:t>des</w:t>
      </w:r>
      <w:r>
        <w:rPr>
          <w:spacing w:val="-7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contractuelles</w:t>
      </w:r>
      <w:r>
        <w:rPr>
          <w:spacing w:val="-5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bénéficiaires</w:t>
      </w:r>
      <w:r>
        <w:rPr>
          <w:spacing w:val="-7"/>
        </w:rPr>
        <w:t xml:space="preserve"> </w:t>
      </w:r>
      <w:r>
        <w:t>finaux</w:t>
      </w:r>
      <w:r>
        <w:rPr>
          <w:spacing w:val="-7"/>
        </w:rPr>
        <w:t xml:space="preserve"> </w:t>
      </w:r>
      <w:r>
        <w:t>respectent</w:t>
      </w:r>
      <w:r>
        <w:rPr>
          <w:spacing w:val="-4"/>
        </w:rPr>
        <w:t xml:space="preserve"> </w:t>
      </w:r>
      <w:r>
        <w:t>les</w:t>
      </w:r>
      <w:r>
        <w:rPr>
          <w:spacing w:val="-7"/>
        </w:rPr>
        <w:t xml:space="preserve"> </w:t>
      </w:r>
      <w:r>
        <w:t>exigences énoncées au paragraphe 1, point c).</w:t>
      </w:r>
    </w:p>
    <w:p w14:paraId="487C8D1C" w14:textId="77777777" w:rsidR="006B5A52" w:rsidRDefault="006B5A52">
      <w:pPr>
        <w:pStyle w:val="Corpsdetexte"/>
      </w:pPr>
    </w:p>
    <w:p w14:paraId="311A7BE5" w14:textId="006A1369" w:rsidR="0072641F" w:rsidRPr="007475CA" w:rsidRDefault="004C2322" w:rsidP="007475CA">
      <w:pPr>
        <w:pStyle w:val="Paragraphedeliste"/>
        <w:numPr>
          <w:ilvl w:val="0"/>
          <w:numId w:val="1"/>
        </w:numPr>
        <w:tabs>
          <w:tab w:val="left" w:pos="1034"/>
          <w:tab w:val="left" w:pos="1036"/>
        </w:tabs>
        <w:ind w:right="112"/>
        <w:jc w:val="both"/>
      </w:pPr>
      <w:r>
        <w:t>Lorsque le bénéficiaire ne respecte pas les obligations qui lui incombent, et qu’aucune action corrective n’a été mise en place, l’autorité de gestion applique des mesures, dans le respect du</w:t>
      </w:r>
      <w:r>
        <w:rPr>
          <w:spacing w:val="-2"/>
        </w:rPr>
        <w:t xml:space="preserve"> </w:t>
      </w:r>
      <w:r>
        <w:t>principe de</w:t>
      </w:r>
      <w:r>
        <w:rPr>
          <w:spacing w:val="-2"/>
        </w:rPr>
        <w:t xml:space="preserve"> </w:t>
      </w:r>
      <w:r>
        <w:t>proportionnalité,</w:t>
      </w:r>
      <w:r>
        <w:rPr>
          <w:spacing w:val="-1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annulant jusqu’à 3</w:t>
      </w:r>
      <w:r>
        <w:rPr>
          <w:spacing w:val="-2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soutien octroyé</w:t>
      </w:r>
      <w:r>
        <w:rPr>
          <w:spacing w:val="-2"/>
        </w:rPr>
        <w:t xml:space="preserve"> </w:t>
      </w:r>
      <w:r>
        <w:t>par les Fonds à l’opération concernée.</w:t>
      </w:r>
    </w:p>
    <w:sectPr w:rsidR="0072641F" w:rsidRPr="007475CA" w:rsidSect="00BE26DE">
      <w:footerReference w:type="default" r:id="rId12"/>
      <w:type w:val="continuous"/>
      <w:pgSz w:w="11910" w:h="16840"/>
      <w:pgMar w:top="567" w:right="1300" w:bottom="280" w:left="74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76FC7" w14:textId="77777777" w:rsidR="004C2322" w:rsidRDefault="004C2322" w:rsidP="004C2322">
      <w:r>
        <w:separator/>
      </w:r>
    </w:p>
  </w:endnote>
  <w:endnote w:type="continuationSeparator" w:id="0">
    <w:p w14:paraId="41E8ED4B" w14:textId="77777777" w:rsidR="004C2322" w:rsidRDefault="004C2322" w:rsidP="004C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CC7D" w14:textId="77777777" w:rsidR="0072641F" w:rsidRDefault="0072641F" w:rsidP="00326AE2">
    <w:pPr>
      <w:ind w:left="284" w:right="-903"/>
      <w:rPr>
        <w:spacing w:val="-4"/>
        <w:sz w:val="18"/>
      </w:rPr>
    </w:pPr>
    <w:r>
      <w:rPr>
        <w:sz w:val="18"/>
      </w:rPr>
      <w:t>Programme</w:t>
    </w:r>
    <w:r>
      <w:rPr>
        <w:spacing w:val="-3"/>
        <w:sz w:val="18"/>
      </w:rPr>
      <w:t xml:space="preserve"> </w:t>
    </w:r>
    <w:r>
      <w:rPr>
        <w:sz w:val="18"/>
      </w:rPr>
      <w:t>régional</w:t>
    </w:r>
    <w:r>
      <w:rPr>
        <w:spacing w:val="-4"/>
        <w:sz w:val="18"/>
      </w:rPr>
      <w:t xml:space="preserve"> </w:t>
    </w:r>
    <w:r>
      <w:rPr>
        <w:sz w:val="18"/>
      </w:rPr>
      <w:t>de</w:t>
    </w:r>
    <w:r>
      <w:rPr>
        <w:spacing w:val="-4"/>
        <w:sz w:val="18"/>
      </w:rPr>
      <w:t xml:space="preserve"> </w:t>
    </w:r>
    <w:r>
      <w:rPr>
        <w:sz w:val="18"/>
      </w:rPr>
      <w:t>l’Île-de-France</w:t>
    </w:r>
    <w:r>
      <w:rPr>
        <w:spacing w:val="-2"/>
        <w:sz w:val="18"/>
      </w:rPr>
      <w:t xml:space="preserve"> </w:t>
    </w:r>
    <w:r>
      <w:rPr>
        <w:sz w:val="18"/>
      </w:rPr>
      <w:t>et</w:t>
    </w:r>
    <w:r>
      <w:rPr>
        <w:spacing w:val="-4"/>
        <w:sz w:val="18"/>
      </w:rPr>
      <w:t xml:space="preserve"> </w:t>
    </w:r>
    <w:r>
      <w:rPr>
        <w:sz w:val="18"/>
      </w:rPr>
      <w:t>du</w:t>
    </w:r>
    <w:r>
      <w:rPr>
        <w:spacing w:val="-4"/>
        <w:sz w:val="18"/>
      </w:rPr>
      <w:t xml:space="preserve"> </w:t>
    </w:r>
    <w:r>
      <w:rPr>
        <w:sz w:val="18"/>
      </w:rPr>
      <w:t>bassin</w:t>
    </w:r>
    <w:r>
      <w:rPr>
        <w:spacing w:val="-2"/>
        <w:sz w:val="18"/>
      </w:rPr>
      <w:t xml:space="preserve"> </w:t>
    </w:r>
    <w:r>
      <w:rPr>
        <w:sz w:val="18"/>
      </w:rPr>
      <w:t>de</w:t>
    </w:r>
    <w:r>
      <w:rPr>
        <w:spacing w:val="-4"/>
        <w:sz w:val="18"/>
      </w:rPr>
      <w:t xml:space="preserve"> </w:t>
    </w:r>
    <w:r>
      <w:rPr>
        <w:sz w:val="18"/>
      </w:rPr>
      <w:t>la</w:t>
    </w:r>
    <w:r>
      <w:rPr>
        <w:spacing w:val="-3"/>
        <w:sz w:val="18"/>
      </w:rPr>
      <w:t xml:space="preserve"> </w:t>
    </w:r>
    <w:r>
      <w:rPr>
        <w:sz w:val="18"/>
      </w:rPr>
      <w:t>Seine</w:t>
    </w:r>
    <w:r>
      <w:rPr>
        <w:spacing w:val="2"/>
        <w:sz w:val="18"/>
      </w:rPr>
      <w:t xml:space="preserve"> </w:t>
    </w:r>
    <w:r>
      <w:rPr>
        <w:sz w:val="18"/>
      </w:rPr>
      <w:t>FEDER-FSE+</w:t>
    </w:r>
    <w:r>
      <w:rPr>
        <w:spacing w:val="-4"/>
        <w:sz w:val="18"/>
      </w:rPr>
      <w:t xml:space="preserve"> </w:t>
    </w:r>
    <w:r>
      <w:rPr>
        <w:sz w:val="18"/>
      </w:rPr>
      <w:t>2021-</w:t>
    </w:r>
    <w:r>
      <w:rPr>
        <w:spacing w:val="-4"/>
        <w:sz w:val="18"/>
      </w:rPr>
      <w:t>2027</w:t>
    </w:r>
  </w:p>
  <w:p w14:paraId="15C09EF8" w14:textId="77777777" w:rsidR="0072641F" w:rsidRDefault="0072641F" w:rsidP="0072641F">
    <w:pPr>
      <w:ind w:left="284"/>
      <w:rPr>
        <w:sz w:val="18"/>
      </w:rPr>
    </w:pPr>
    <w:r>
      <w:rPr>
        <w:spacing w:val="-4"/>
        <w:sz w:val="18"/>
      </w:rPr>
      <w:t>Chambre de commerce et d’industrie Paris Île-de-France</w:t>
    </w:r>
  </w:p>
  <w:p w14:paraId="40885A03" w14:textId="404CCA01" w:rsidR="0072641F" w:rsidRPr="00326AE2" w:rsidRDefault="0072641F" w:rsidP="00326AE2">
    <w:pPr>
      <w:pStyle w:val="Pieddepage"/>
      <w:ind w:left="284" w:right="-1045" w:hanging="284"/>
      <w:rPr>
        <w:sz w:val="18"/>
      </w:rPr>
    </w:pPr>
    <w:r>
      <w:rPr>
        <w:sz w:val="18"/>
      </w:rPr>
      <w:tab/>
    </w:r>
    <w:r w:rsidRPr="005D0322">
      <w:rPr>
        <w:sz w:val="18"/>
      </w:rPr>
      <w:t>Appel à projets FSE+ 2024 "Entrepreneuriat féminin, Etudiant-entrepreneur et reprise/transmission d’activités " (OS 4.1) </w:t>
    </w:r>
    <w:r w:rsidRPr="005D0322">
      <w:rPr>
        <w:b/>
        <w:bCs/>
        <w:sz w:val="18"/>
      </w:rPr>
      <w:t>– Annexe 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2F7E0" w14:textId="77777777" w:rsidR="004C2322" w:rsidRDefault="004C2322" w:rsidP="004C2322">
      <w:r>
        <w:separator/>
      </w:r>
    </w:p>
  </w:footnote>
  <w:footnote w:type="continuationSeparator" w:id="0">
    <w:p w14:paraId="7CFDA278" w14:textId="77777777" w:rsidR="004C2322" w:rsidRDefault="004C2322" w:rsidP="004C23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D0AA8"/>
    <w:multiLevelType w:val="hybridMultilevel"/>
    <w:tmpl w:val="1F44E68E"/>
    <w:lvl w:ilvl="0" w:tplc="58A654C0">
      <w:start w:val="1"/>
      <w:numFmt w:val="decimal"/>
      <w:lvlText w:val="%1."/>
      <w:lvlJc w:val="left"/>
      <w:pPr>
        <w:ind w:left="1036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B972F028">
      <w:start w:val="1"/>
      <w:numFmt w:val="lowerLetter"/>
      <w:lvlText w:val="%2."/>
      <w:lvlJc w:val="left"/>
      <w:pPr>
        <w:ind w:left="1396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2" w:tplc="E6328D12">
      <w:numFmt w:val="bullet"/>
      <w:lvlText w:val="•"/>
      <w:lvlJc w:val="left"/>
      <w:pPr>
        <w:ind w:left="2340" w:hanging="360"/>
      </w:pPr>
      <w:rPr>
        <w:rFonts w:hint="default"/>
        <w:lang w:val="fr-FR" w:eastAsia="en-US" w:bidi="ar-SA"/>
      </w:rPr>
    </w:lvl>
    <w:lvl w:ilvl="3" w:tplc="8CF06C94">
      <w:numFmt w:val="bullet"/>
      <w:lvlText w:val="•"/>
      <w:lvlJc w:val="left"/>
      <w:pPr>
        <w:ind w:left="3281" w:hanging="360"/>
      </w:pPr>
      <w:rPr>
        <w:rFonts w:hint="default"/>
        <w:lang w:val="fr-FR" w:eastAsia="en-US" w:bidi="ar-SA"/>
      </w:rPr>
    </w:lvl>
    <w:lvl w:ilvl="4" w:tplc="CACA580E">
      <w:numFmt w:val="bullet"/>
      <w:lvlText w:val="•"/>
      <w:lvlJc w:val="left"/>
      <w:pPr>
        <w:ind w:left="4222" w:hanging="360"/>
      </w:pPr>
      <w:rPr>
        <w:rFonts w:hint="default"/>
        <w:lang w:val="fr-FR" w:eastAsia="en-US" w:bidi="ar-SA"/>
      </w:rPr>
    </w:lvl>
    <w:lvl w:ilvl="5" w:tplc="92ECF590">
      <w:numFmt w:val="bullet"/>
      <w:lvlText w:val="•"/>
      <w:lvlJc w:val="left"/>
      <w:pPr>
        <w:ind w:left="5162" w:hanging="360"/>
      </w:pPr>
      <w:rPr>
        <w:rFonts w:hint="default"/>
        <w:lang w:val="fr-FR" w:eastAsia="en-US" w:bidi="ar-SA"/>
      </w:rPr>
    </w:lvl>
    <w:lvl w:ilvl="6" w:tplc="3246EE9A">
      <w:numFmt w:val="bullet"/>
      <w:lvlText w:val="•"/>
      <w:lvlJc w:val="left"/>
      <w:pPr>
        <w:ind w:left="6103" w:hanging="360"/>
      </w:pPr>
      <w:rPr>
        <w:rFonts w:hint="default"/>
        <w:lang w:val="fr-FR" w:eastAsia="en-US" w:bidi="ar-SA"/>
      </w:rPr>
    </w:lvl>
    <w:lvl w:ilvl="7" w:tplc="0EAADC72">
      <w:numFmt w:val="bullet"/>
      <w:lvlText w:val="•"/>
      <w:lvlJc w:val="left"/>
      <w:pPr>
        <w:ind w:left="7044" w:hanging="360"/>
      </w:pPr>
      <w:rPr>
        <w:rFonts w:hint="default"/>
        <w:lang w:val="fr-FR" w:eastAsia="en-US" w:bidi="ar-SA"/>
      </w:rPr>
    </w:lvl>
    <w:lvl w:ilvl="8" w:tplc="C0BEC922">
      <w:numFmt w:val="bullet"/>
      <w:lvlText w:val="•"/>
      <w:lvlJc w:val="left"/>
      <w:pPr>
        <w:ind w:left="7984" w:hanging="360"/>
      </w:pPr>
      <w:rPr>
        <w:rFonts w:hint="default"/>
        <w:lang w:val="fr-FR" w:eastAsia="en-US" w:bidi="ar-SA"/>
      </w:rPr>
    </w:lvl>
  </w:abstractNum>
  <w:num w:numId="1" w16cid:durableId="150870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52"/>
    <w:rsid w:val="000710D7"/>
    <w:rsid w:val="00084175"/>
    <w:rsid w:val="0015024D"/>
    <w:rsid w:val="00326AE2"/>
    <w:rsid w:val="003A4305"/>
    <w:rsid w:val="004C2322"/>
    <w:rsid w:val="0053560E"/>
    <w:rsid w:val="005D0322"/>
    <w:rsid w:val="006B5A52"/>
    <w:rsid w:val="0072641F"/>
    <w:rsid w:val="007475CA"/>
    <w:rsid w:val="008850EE"/>
    <w:rsid w:val="00AB7F4B"/>
    <w:rsid w:val="00BE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402F8"/>
  <w15:docId w15:val="{A22382BB-8BC4-43AD-9608-A2269325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ind w:left="2302" w:right="1811"/>
      <w:jc w:val="center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1396" w:right="11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4C23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2322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4C232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2322"/>
    <w:rPr>
      <w:rFonts w:ascii="Arial" w:eastAsia="Arial" w:hAnsi="Arial" w:cs="Arial"/>
      <w:lang w:val="fr-FR"/>
    </w:rPr>
  </w:style>
  <w:style w:type="table" w:styleId="Grilledutableau">
    <w:name w:val="Table Grid"/>
    <w:basedOn w:val="TableauNormal"/>
    <w:rsid w:val="004C232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5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r-lex.europa.eu/legal-content/FR/TXT/HTML/?uri=CELEX%3A32021R1057&amp;from=F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eur-lex.europa.eu/legal-content/FR/TXT/HTML/?uri=CELEX%3A32021R1060&amp;from=F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541</Words>
  <Characters>2980</Characters>
  <Application>Microsoft Office Word</Application>
  <DocSecurity>0</DocSecurity>
  <Lines>24</Lines>
  <Paragraphs>7</Paragraphs>
  <ScaleCrop>false</ScaleCrop>
  <Company>GIE - CCI PARIS IDF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BOUTELAA Fouzia</dc:creator>
  <cp:lastModifiedBy>OURRAOUI Imane</cp:lastModifiedBy>
  <cp:revision>10</cp:revision>
  <dcterms:created xsi:type="dcterms:W3CDTF">2023-10-17T10:22:00Z</dcterms:created>
  <dcterms:modified xsi:type="dcterms:W3CDTF">2023-11-28T15:56:00Z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2023-08-30T00:00:00Z</vt:filetime>
  </property>
  <property fmtid="{D5CDD505-2E9C-101B-9397-08002B2CF9AE}" pid="5" name="Producer">
    <vt:lpwstr>Microsoft® Word pour Microsoft 365</vt:lpwstr>
  </property>
</Properties>
</file>