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5" w:type="dxa"/>
        <w:tblLook w:val="04A0" w:firstRow="1" w:lastRow="0" w:firstColumn="1" w:lastColumn="0" w:noHBand="0" w:noVBand="1"/>
      </w:tblPr>
      <w:tblGrid>
        <w:gridCol w:w="10461"/>
      </w:tblGrid>
      <w:tr w:rsidR="008B5585" w:rsidRPr="00E64844" w14:paraId="3375BA28" w14:textId="77777777" w:rsidTr="00956FC7">
        <w:trPr>
          <w:trHeight w:val="534"/>
        </w:trPr>
        <w:tc>
          <w:tcPr>
            <w:tcW w:w="10461" w:type="dxa"/>
          </w:tcPr>
          <w:p w14:paraId="67FB6C46" w14:textId="118B2F6B" w:rsidR="008B5585" w:rsidRPr="00E64844" w:rsidRDefault="008B5585" w:rsidP="003D3C31">
            <w:pPr>
              <w:spacing w:before="120" w:line="240" w:lineRule="auto"/>
              <w:jc w:val="center"/>
              <w:rPr>
                <w:rFonts w:ascii="Arial" w:hAnsi="Arial" w:cs="Arial"/>
                <w:b/>
                <w:bCs/>
                <w:sz w:val="28"/>
                <w:szCs w:val="28"/>
              </w:rPr>
            </w:pPr>
            <w:r>
              <w:rPr>
                <w:rFonts w:ascii="Arial" w:hAnsi="Arial" w:cs="Arial"/>
                <w:b/>
                <w:bCs/>
                <w:sz w:val="28"/>
                <w:szCs w:val="28"/>
              </w:rPr>
              <w:t xml:space="preserve">Fiche aides d’Etat – services d’intérêt </w:t>
            </w:r>
            <w:r w:rsidR="003D3C31">
              <w:rPr>
                <w:rFonts w:ascii="Arial" w:hAnsi="Arial" w:cs="Arial"/>
                <w:b/>
                <w:bCs/>
                <w:sz w:val="28"/>
                <w:szCs w:val="28"/>
              </w:rPr>
              <w:t>économique général (SIEG)</w:t>
            </w:r>
          </w:p>
        </w:tc>
      </w:tr>
    </w:tbl>
    <w:p w14:paraId="4702462E" w14:textId="038C3002" w:rsidR="00373DDD" w:rsidRDefault="00373DDD" w:rsidP="003D3C31">
      <w:pPr>
        <w:spacing w:after="0" w:line="240" w:lineRule="auto"/>
        <w:contextualSpacing/>
        <w:jc w:val="both"/>
      </w:pPr>
    </w:p>
    <w:p w14:paraId="3D4B3C49" w14:textId="0DB48457" w:rsidR="00373DDD" w:rsidRPr="003D3C31" w:rsidRDefault="00373DDD" w:rsidP="003D3C31">
      <w:pPr>
        <w:spacing w:after="0" w:line="240" w:lineRule="auto"/>
        <w:contextualSpacing/>
        <w:jc w:val="both"/>
        <w:rPr>
          <w:rFonts w:ascii="Arial" w:hAnsi="Arial" w:cs="Arial"/>
          <w:sz w:val="20"/>
          <w:szCs w:val="20"/>
        </w:rPr>
      </w:pPr>
      <w:r w:rsidRPr="003D3C31">
        <w:rPr>
          <w:rFonts w:ascii="Arial" w:eastAsia="Times New Roman" w:hAnsi="Arial" w:cs="Arial"/>
          <w:i/>
          <w:iCs/>
          <w:sz w:val="20"/>
          <w:szCs w:val="20"/>
          <w:lang w:eastAsia="fr-FR"/>
        </w:rPr>
        <w:t xml:space="preserve">Cette fiche constitue un document informatif sans valeur juridique et n’engage pas l’autorité de gestion sur la qualification définitive des projets au regard de la règlementation des aides d’Etat. </w:t>
      </w:r>
    </w:p>
    <w:p w14:paraId="67E67BE4" w14:textId="77777777" w:rsidR="001B162F" w:rsidRPr="003D3C31" w:rsidRDefault="001B162F" w:rsidP="003D3C31">
      <w:pPr>
        <w:spacing w:after="0" w:line="240" w:lineRule="auto"/>
        <w:contextualSpacing/>
        <w:jc w:val="both"/>
        <w:rPr>
          <w:rFonts w:ascii="Arial" w:hAnsi="Arial" w:cs="Arial"/>
          <w:color w:val="C00000"/>
          <w:sz w:val="20"/>
          <w:szCs w:val="20"/>
        </w:rPr>
      </w:pPr>
    </w:p>
    <w:p w14:paraId="528E791D" w14:textId="67EB2E0F" w:rsidR="001B162F" w:rsidRPr="003D3C31" w:rsidRDefault="001B162F" w:rsidP="003D3C31">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3D3C31">
        <w:rPr>
          <w:rFonts w:ascii="Arial" w:hAnsi="Arial" w:cs="Arial"/>
          <w:b/>
          <w:bCs/>
          <w:color w:val="C00000"/>
          <w:sz w:val="24"/>
          <w:szCs w:val="24"/>
        </w:rPr>
        <w:t>Généralités du régime SIEG</w:t>
      </w:r>
    </w:p>
    <w:p w14:paraId="3EC941C0"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L’article 106 § 2 TFUE autorise des dérogations aux règles du traité pour les entreprises chargées de la gestion de services d’intérêt économique général (abrégé SIEG), lorsque ces dérogations sont nécessaires à l’accomplissement de la mission qui leur a été confiée.</w:t>
      </w:r>
    </w:p>
    <w:p w14:paraId="49EC3206"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p>
    <w:p w14:paraId="0547F0C4" w14:textId="52760A6D"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 xml:space="preserve">Aucune définition précise du SIEG n’existe de la part de la Commission, laissant une large marge d’appréciation aux Etats membres. Le droit interne encadre donc les activités considérées comme SIEG notamment, selon les besoins des citoyens, les évolutions techniques et commerciales et les préférences sociales et politiques propres à chaque Etat (Communication de la Commission UE de </w:t>
      </w:r>
      <w:r w:rsidR="00C16D8E" w:rsidRPr="003D3C31">
        <w:rPr>
          <w:rFonts w:ascii="Arial" w:hAnsi="Arial" w:cs="Arial"/>
          <w:sz w:val="20"/>
          <w:szCs w:val="20"/>
        </w:rPr>
        <w:t>décembre</w:t>
      </w:r>
      <w:r w:rsidRPr="003D3C31">
        <w:rPr>
          <w:rFonts w:ascii="Arial" w:hAnsi="Arial" w:cs="Arial"/>
          <w:sz w:val="20"/>
          <w:szCs w:val="20"/>
        </w:rPr>
        <w:t xml:space="preserve"> 2011). </w:t>
      </w:r>
    </w:p>
    <w:p w14:paraId="33EC47DA"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p>
    <w:p w14:paraId="0A8D35F6" w14:textId="4B2E8375"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Cependant la jurisprudence de la CJUE a spécifié trois caractéristique</w:t>
      </w:r>
      <w:r w:rsidR="00CD0B13" w:rsidRPr="003D3C31">
        <w:rPr>
          <w:rFonts w:ascii="Arial" w:hAnsi="Arial" w:cs="Arial"/>
          <w:sz w:val="20"/>
          <w:szCs w:val="20"/>
        </w:rPr>
        <w:t>s</w:t>
      </w:r>
      <w:r w:rsidRPr="003D3C31">
        <w:rPr>
          <w:rFonts w:ascii="Arial" w:hAnsi="Arial" w:cs="Arial"/>
          <w:sz w:val="20"/>
          <w:szCs w:val="20"/>
        </w:rPr>
        <w:t xml:space="preserve"> permettant de qualifier un SIEG, afin </w:t>
      </w:r>
      <w:r w:rsidR="00C16D8E" w:rsidRPr="003D3C31">
        <w:rPr>
          <w:rFonts w:ascii="Arial" w:hAnsi="Arial" w:cs="Arial"/>
          <w:sz w:val="20"/>
          <w:szCs w:val="20"/>
        </w:rPr>
        <w:t xml:space="preserve">de </w:t>
      </w:r>
      <w:r w:rsidRPr="003D3C31">
        <w:rPr>
          <w:rFonts w:ascii="Arial" w:hAnsi="Arial" w:cs="Arial"/>
          <w:sz w:val="20"/>
          <w:szCs w:val="20"/>
        </w:rPr>
        <w:t>facilit</w:t>
      </w:r>
      <w:r w:rsidR="00CD0B13" w:rsidRPr="003D3C31">
        <w:rPr>
          <w:rFonts w:ascii="Arial" w:hAnsi="Arial" w:cs="Arial"/>
          <w:sz w:val="20"/>
          <w:szCs w:val="20"/>
        </w:rPr>
        <w:t>er</w:t>
      </w:r>
      <w:r w:rsidRPr="003D3C31">
        <w:rPr>
          <w:rFonts w:ascii="Arial" w:hAnsi="Arial" w:cs="Arial"/>
          <w:sz w:val="20"/>
          <w:szCs w:val="20"/>
        </w:rPr>
        <w:t xml:space="preserve"> le contrôle du juge communautaire :</w:t>
      </w:r>
    </w:p>
    <w:p w14:paraId="665BE7F2" w14:textId="025BEAF8" w:rsidR="001B162F" w:rsidRPr="003D3C31" w:rsidRDefault="001B162F" w:rsidP="003D3C31">
      <w:pPr>
        <w:pStyle w:val="Paragraphedeliste"/>
        <w:numPr>
          <w:ilvl w:val="0"/>
          <w:numId w:val="27"/>
        </w:num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 xml:space="preserve">une activité économique au sens du droit de la concurrence : toute activité consistant à offrir des biens et des services sur un marché donné, </w:t>
      </w:r>
    </w:p>
    <w:p w14:paraId="6EDE16FD" w14:textId="30C7488D" w:rsidR="001B162F" w:rsidRPr="003D3C31" w:rsidRDefault="001B162F" w:rsidP="003D3C31">
      <w:pPr>
        <w:pStyle w:val="Paragraphedeliste"/>
        <w:numPr>
          <w:ilvl w:val="0"/>
          <w:numId w:val="27"/>
        </w:num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 xml:space="preserve">revêtant un caractère d’intérêt général : </w:t>
      </w:r>
      <w:r w:rsidR="00A845AF" w:rsidRPr="003D3C31">
        <w:rPr>
          <w:rFonts w:ascii="Arial" w:hAnsi="Arial" w:cs="Arial"/>
          <w:sz w:val="20"/>
          <w:szCs w:val="20"/>
        </w:rPr>
        <w:t>activité de service public destinée à un public spécifique ou à la société dans son ensemble et qui ne serait pas réalisé</w:t>
      </w:r>
      <w:r w:rsidR="00C16D8E" w:rsidRPr="003D3C31">
        <w:rPr>
          <w:rFonts w:ascii="Arial" w:hAnsi="Arial" w:cs="Arial"/>
          <w:sz w:val="20"/>
          <w:szCs w:val="20"/>
        </w:rPr>
        <w:t>e</w:t>
      </w:r>
      <w:r w:rsidR="00A845AF" w:rsidRPr="003D3C31">
        <w:rPr>
          <w:rFonts w:ascii="Arial" w:hAnsi="Arial" w:cs="Arial"/>
          <w:sz w:val="20"/>
          <w:szCs w:val="20"/>
        </w:rPr>
        <w:t xml:space="preserve"> dans des conditions similaires par le marché, sans intervention publique. </w:t>
      </w:r>
    </w:p>
    <w:p w14:paraId="73E180A2" w14:textId="5EB33AF3" w:rsidR="001B162F" w:rsidRPr="003D3C31" w:rsidRDefault="001B162F" w:rsidP="003D3C31">
      <w:pPr>
        <w:pStyle w:val="Paragraphedeliste"/>
        <w:numPr>
          <w:ilvl w:val="0"/>
          <w:numId w:val="27"/>
        </w:num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 xml:space="preserve">confiée à une entreprise par un acte exprès de la puissance publique : </w:t>
      </w:r>
      <w:r w:rsidR="00A845AF" w:rsidRPr="003D3C31">
        <w:rPr>
          <w:rFonts w:ascii="Arial" w:hAnsi="Arial" w:cs="Arial"/>
          <w:sz w:val="20"/>
          <w:szCs w:val="20"/>
        </w:rPr>
        <w:t>actes explicites (législatif, règlementaire, conventions…)</w:t>
      </w:r>
    </w:p>
    <w:p w14:paraId="2D10B5E6" w14:textId="43ACD41D"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L’arrêt Altmark du 24 juillet 2003 de la CJUE défini</w:t>
      </w:r>
      <w:r w:rsidR="00CD0B13" w:rsidRPr="003D3C31">
        <w:rPr>
          <w:rFonts w:ascii="Arial" w:hAnsi="Arial" w:cs="Arial"/>
          <w:sz w:val="20"/>
          <w:szCs w:val="20"/>
        </w:rPr>
        <w:t>t</w:t>
      </w:r>
      <w:r w:rsidRPr="003D3C31">
        <w:rPr>
          <w:rFonts w:ascii="Arial" w:hAnsi="Arial" w:cs="Arial"/>
          <w:sz w:val="20"/>
          <w:szCs w:val="20"/>
        </w:rPr>
        <w:t xml:space="preserve"> les critères permettant aux compensations publiques versées aux entreprises chargées de la gestion de SIEG d’échapper à la qualification d’</w:t>
      </w:r>
      <w:r w:rsidR="003C2B40" w:rsidRPr="003D3C31">
        <w:rPr>
          <w:rFonts w:ascii="Arial" w:hAnsi="Arial" w:cs="Arial"/>
          <w:sz w:val="20"/>
          <w:szCs w:val="20"/>
        </w:rPr>
        <w:t>aides d’Etat</w:t>
      </w:r>
      <w:r w:rsidRPr="003D3C31">
        <w:rPr>
          <w:rFonts w:ascii="Arial" w:hAnsi="Arial" w:cs="Arial"/>
          <w:sz w:val="20"/>
          <w:szCs w:val="20"/>
        </w:rPr>
        <w:t xml:space="preserve">. </w:t>
      </w:r>
    </w:p>
    <w:p w14:paraId="751EF385"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p>
    <w:p w14:paraId="68A6D881" w14:textId="13ED4282" w:rsidR="0088126B"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 xml:space="preserve">Enfin, le 20 décembre 2011, la Commission a adopté trois des quatre textes qui composent le nouveau cadre juridique (dit paquet </w:t>
      </w:r>
      <w:proofErr w:type="spellStart"/>
      <w:r w:rsidRPr="003D3C31">
        <w:rPr>
          <w:rFonts w:ascii="Arial" w:hAnsi="Arial" w:cs="Arial"/>
          <w:sz w:val="20"/>
          <w:szCs w:val="20"/>
        </w:rPr>
        <w:t>Almunia</w:t>
      </w:r>
      <w:proofErr w:type="spellEnd"/>
      <w:r w:rsidRPr="003D3C31">
        <w:rPr>
          <w:rFonts w:ascii="Arial" w:hAnsi="Arial" w:cs="Arial"/>
          <w:sz w:val="20"/>
          <w:szCs w:val="20"/>
        </w:rPr>
        <w:t xml:space="preserve">). Il précise les conditions de la compatibilité avec le traité des compensations de service public. Si les critères Altmark ne sont pas remplis, l’aide </w:t>
      </w:r>
      <w:r w:rsidR="00CD0B13" w:rsidRPr="003D3C31">
        <w:rPr>
          <w:rFonts w:ascii="Arial" w:hAnsi="Arial" w:cs="Arial"/>
          <w:sz w:val="20"/>
          <w:szCs w:val="20"/>
        </w:rPr>
        <w:t xml:space="preserve">ne sera compatible que si elle respecte les conditions de la règlementation </w:t>
      </w:r>
      <w:proofErr w:type="spellStart"/>
      <w:r w:rsidR="00CD0B13" w:rsidRPr="003D3C31">
        <w:rPr>
          <w:rFonts w:ascii="Arial" w:hAnsi="Arial" w:cs="Arial"/>
          <w:sz w:val="20"/>
          <w:szCs w:val="20"/>
        </w:rPr>
        <w:t>Almunia</w:t>
      </w:r>
      <w:proofErr w:type="spellEnd"/>
      <w:r w:rsidR="00C16D8E" w:rsidRPr="003D3C31">
        <w:rPr>
          <w:rFonts w:ascii="Arial" w:hAnsi="Arial" w:cs="Arial"/>
          <w:sz w:val="20"/>
          <w:szCs w:val="20"/>
        </w:rPr>
        <w:t>.</w:t>
      </w:r>
    </w:p>
    <w:p w14:paraId="4ACD8891"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u w:val="single"/>
        </w:rPr>
      </w:pPr>
    </w:p>
    <w:p w14:paraId="08453314" w14:textId="39C7C082"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u w:val="single"/>
        </w:rPr>
        <w:t>La Commission européenne exige, depuis 2011</w:t>
      </w:r>
      <w:r w:rsidRPr="003D3C31">
        <w:rPr>
          <w:rFonts w:ascii="Arial" w:hAnsi="Arial" w:cs="Arial"/>
          <w:sz w:val="20"/>
          <w:szCs w:val="20"/>
        </w:rPr>
        <w:t xml:space="preserve"> :</w:t>
      </w:r>
    </w:p>
    <w:p w14:paraId="5904FE85" w14:textId="4CB77025"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w:t>
      </w:r>
      <w:r w:rsidRPr="003D3C31">
        <w:rPr>
          <w:rFonts w:ascii="Arial" w:hAnsi="Arial" w:cs="Arial"/>
          <w:sz w:val="20"/>
          <w:szCs w:val="20"/>
        </w:rPr>
        <w:tab/>
        <w:t xml:space="preserve">que le SIEG ne concerne pas des activités déjà fournies par le privé </w:t>
      </w:r>
      <w:r w:rsidR="00D92F42" w:rsidRPr="003D3C31">
        <w:rPr>
          <w:rFonts w:ascii="Arial" w:hAnsi="Arial" w:cs="Arial"/>
          <w:sz w:val="20"/>
          <w:szCs w:val="20"/>
        </w:rPr>
        <w:t>dans des conditions identiques ou similaires</w:t>
      </w:r>
      <w:r w:rsidRPr="003D3C31">
        <w:rPr>
          <w:rFonts w:ascii="Arial" w:hAnsi="Arial" w:cs="Arial"/>
          <w:sz w:val="20"/>
          <w:szCs w:val="20"/>
        </w:rPr>
        <w:t xml:space="preserve"> ;</w:t>
      </w:r>
    </w:p>
    <w:p w14:paraId="2FA5193F"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w:t>
      </w:r>
      <w:r w:rsidRPr="003D3C31">
        <w:rPr>
          <w:rFonts w:ascii="Arial" w:hAnsi="Arial" w:cs="Arial"/>
          <w:sz w:val="20"/>
          <w:szCs w:val="20"/>
        </w:rPr>
        <w:tab/>
        <w:t>que la prestation fournie soit à destination directe du citoyen ou dans l’intérêt de la société dans son ensemble.</w:t>
      </w:r>
    </w:p>
    <w:p w14:paraId="6BC6530F"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p>
    <w:p w14:paraId="2A8C2078" w14:textId="3BB60F1E"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La Commission a en outre adopté, le 25 avril 2012, le règlement instituant un seuil de minimis spécifique aux SIEG</w:t>
      </w:r>
      <w:r w:rsidR="00043174" w:rsidRPr="003D3C31">
        <w:rPr>
          <w:rFonts w:ascii="Arial" w:hAnsi="Arial" w:cs="Arial"/>
          <w:sz w:val="20"/>
          <w:szCs w:val="20"/>
        </w:rPr>
        <w:t xml:space="preserve"> (règlement UE n° 360/2012)</w:t>
      </w:r>
      <w:r w:rsidR="00AA32BD" w:rsidRPr="003D3C31">
        <w:rPr>
          <w:rFonts w:ascii="Arial" w:hAnsi="Arial" w:cs="Arial"/>
          <w:sz w:val="20"/>
          <w:szCs w:val="20"/>
        </w:rPr>
        <w:t>, modifié par le règlement n°2020/1474 de la Commission du 13 octobre 2020</w:t>
      </w:r>
      <w:r w:rsidRPr="003D3C31">
        <w:rPr>
          <w:rFonts w:ascii="Arial" w:hAnsi="Arial" w:cs="Arial"/>
          <w:sz w:val="20"/>
          <w:szCs w:val="20"/>
        </w:rPr>
        <w:t>.</w:t>
      </w:r>
    </w:p>
    <w:p w14:paraId="16784B39" w14:textId="40BB8217" w:rsidR="0088126B" w:rsidRPr="003D3C31" w:rsidRDefault="001B162F" w:rsidP="003D3C31">
      <w:pPr>
        <w:autoSpaceDE w:val="0"/>
        <w:autoSpaceDN w:val="0"/>
        <w:adjustRightInd w:val="0"/>
        <w:spacing w:after="120" w:line="240" w:lineRule="auto"/>
        <w:contextualSpacing/>
        <w:jc w:val="both"/>
        <w:rPr>
          <w:rFonts w:ascii="Arial" w:hAnsi="Arial" w:cs="Arial"/>
          <w:sz w:val="20"/>
          <w:szCs w:val="20"/>
        </w:rPr>
      </w:pPr>
      <w:r w:rsidRPr="003D3C31">
        <w:rPr>
          <w:rFonts w:ascii="Arial" w:hAnsi="Arial" w:cs="Arial"/>
          <w:sz w:val="20"/>
          <w:szCs w:val="20"/>
        </w:rPr>
        <w:t>Pour rappel, depuis 1980, la Directive « transparence » exige de vérifier l’absence de subventions croisées entre les activités d’intérêt général confiées aux entreprises et leurs activités concurrentielles, en leur imposant la tenue de comptes séparés entre ces deux types d’activités.</w:t>
      </w:r>
    </w:p>
    <w:p w14:paraId="56F4EBFC" w14:textId="77777777" w:rsidR="001B162F" w:rsidRPr="003D3C31" w:rsidRDefault="001B162F" w:rsidP="003D3C31">
      <w:pPr>
        <w:autoSpaceDE w:val="0"/>
        <w:autoSpaceDN w:val="0"/>
        <w:adjustRightInd w:val="0"/>
        <w:spacing w:after="120" w:line="240" w:lineRule="auto"/>
        <w:contextualSpacing/>
        <w:jc w:val="both"/>
        <w:rPr>
          <w:rFonts w:ascii="Arial" w:hAnsi="Arial" w:cs="Arial"/>
          <w:sz w:val="20"/>
          <w:szCs w:val="20"/>
        </w:rPr>
      </w:pPr>
    </w:p>
    <w:p w14:paraId="16D6A6D6" w14:textId="747A7C73" w:rsidR="001B162F" w:rsidRPr="003D3C31" w:rsidRDefault="001B162F" w:rsidP="003D3C31">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3D3C31">
        <w:rPr>
          <w:rFonts w:ascii="Arial" w:hAnsi="Arial" w:cs="Arial"/>
          <w:b/>
          <w:bCs/>
          <w:color w:val="C00000"/>
          <w:sz w:val="24"/>
          <w:szCs w:val="24"/>
        </w:rPr>
        <w:t>SIEG et critères Altmark</w:t>
      </w:r>
    </w:p>
    <w:p w14:paraId="23146806" w14:textId="65643DDC" w:rsidR="001B162F" w:rsidRPr="003D3C31" w:rsidRDefault="001B162F"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Les subventions accordées aux SIEG posent des difficultés, notamment au regard des réglementations encadrant les aides d’Etat. La question a été tranchée par la Cour de Justice de l’Union Européenne à l’occasion de l’arrêt Altmark rendu en 2003. </w:t>
      </w:r>
    </w:p>
    <w:p w14:paraId="30DADCB2" w14:textId="77777777" w:rsidR="00050D15" w:rsidRPr="003D3C31" w:rsidRDefault="00050D15" w:rsidP="003D3C31">
      <w:pPr>
        <w:spacing w:line="240" w:lineRule="auto"/>
        <w:contextualSpacing/>
        <w:jc w:val="both"/>
        <w:rPr>
          <w:rFonts w:ascii="Arial" w:hAnsi="Arial" w:cs="Arial"/>
          <w:b/>
          <w:bCs/>
          <w:sz w:val="24"/>
          <w:szCs w:val="24"/>
        </w:rPr>
      </w:pPr>
    </w:p>
    <w:p w14:paraId="60E76CBE" w14:textId="6FA2CF67" w:rsidR="001B162F" w:rsidRPr="003D3C31" w:rsidRDefault="001B162F" w:rsidP="003D3C31">
      <w:pPr>
        <w:spacing w:after="0" w:line="240" w:lineRule="auto"/>
        <w:contextualSpacing/>
        <w:jc w:val="both"/>
        <w:rPr>
          <w:rFonts w:ascii="Arial" w:hAnsi="Arial" w:cs="Arial"/>
          <w:sz w:val="20"/>
          <w:szCs w:val="20"/>
        </w:rPr>
      </w:pPr>
      <w:r w:rsidRPr="003D3C31">
        <w:rPr>
          <w:rFonts w:ascii="Arial" w:hAnsi="Arial" w:cs="Arial"/>
          <w:sz w:val="20"/>
          <w:szCs w:val="20"/>
        </w:rPr>
        <w:t>La Cour a jugé que ne constitue pas une aide d’Etat</w:t>
      </w:r>
      <w:r w:rsidR="00A845AF" w:rsidRPr="003D3C31">
        <w:rPr>
          <w:rFonts w:ascii="Arial" w:hAnsi="Arial" w:cs="Arial"/>
          <w:sz w:val="20"/>
          <w:szCs w:val="20"/>
        </w:rPr>
        <w:t xml:space="preserve"> la compensation de SIEG qui remplit les conditions suivantes :</w:t>
      </w:r>
    </w:p>
    <w:p w14:paraId="2943A891" w14:textId="53FB9C07" w:rsidR="001B162F" w:rsidRPr="003D3C31" w:rsidRDefault="001B162F" w:rsidP="003D3C31">
      <w:pPr>
        <w:pStyle w:val="Paragraphedeliste"/>
        <w:numPr>
          <w:ilvl w:val="0"/>
          <w:numId w:val="34"/>
        </w:numPr>
        <w:spacing w:after="0" w:line="240" w:lineRule="auto"/>
        <w:contextualSpacing/>
        <w:jc w:val="both"/>
        <w:rPr>
          <w:rFonts w:ascii="Arial" w:hAnsi="Arial" w:cs="Arial"/>
          <w:sz w:val="20"/>
          <w:szCs w:val="20"/>
        </w:rPr>
      </w:pPr>
      <w:r w:rsidRPr="003D3C31">
        <w:rPr>
          <w:rFonts w:ascii="Arial" w:hAnsi="Arial" w:cs="Arial"/>
          <w:sz w:val="20"/>
          <w:szCs w:val="20"/>
        </w:rPr>
        <w:t>l’entreprise a été expressément chargée d’obligations de service public clairement définies ;</w:t>
      </w:r>
    </w:p>
    <w:p w14:paraId="23A6799A" w14:textId="769D8AE3" w:rsidR="001B162F" w:rsidRPr="003D3C31" w:rsidRDefault="001B162F" w:rsidP="003D3C31">
      <w:pPr>
        <w:pStyle w:val="Paragraphedeliste"/>
        <w:numPr>
          <w:ilvl w:val="0"/>
          <w:numId w:val="34"/>
        </w:numPr>
        <w:spacing w:after="0" w:line="240" w:lineRule="auto"/>
        <w:contextualSpacing/>
        <w:jc w:val="both"/>
        <w:rPr>
          <w:rFonts w:ascii="Arial" w:hAnsi="Arial" w:cs="Arial"/>
          <w:sz w:val="20"/>
          <w:szCs w:val="20"/>
        </w:rPr>
      </w:pPr>
      <w:r w:rsidRPr="003D3C31">
        <w:rPr>
          <w:rFonts w:ascii="Arial" w:hAnsi="Arial" w:cs="Arial"/>
          <w:sz w:val="20"/>
          <w:szCs w:val="20"/>
        </w:rPr>
        <w:t>ses paramètres objectifs de calcul de la compensation ont été établis avant son versement ;</w:t>
      </w:r>
    </w:p>
    <w:p w14:paraId="2AD74AE5" w14:textId="5A3B78E7" w:rsidR="00050D15" w:rsidRPr="003D3C31" w:rsidRDefault="001B162F" w:rsidP="003D3C31">
      <w:pPr>
        <w:pStyle w:val="Paragraphedeliste"/>
        <w:numPr>
          <w:ilvl w:val="0"/>
          <w:numId w:val="34"/>
        </w:numPr>
        <w:spacing w:line="240" w:lineRule="auto"/>
        <w:contextualSpacing/>
        <w:jc w:val="both"/>
        <w:rPr>
          <w:rFonts w:ascii="Arial" w:hAnsi="Arial" w:cs="Arial"/>
          <w:sz w:val="20"/>
          <w:szCs w:val="20"/>
        </w:rPr>
      </w:pPr>
      <w:r w:rsidRPr="003D3C31">
        <w:rPr>
          <w:rFonts w:ascii="Arial" w:hAnsi="Arial" w:cs="Arial"/>
          <w:sz w:val="20"/>
          <w:szCs w:val="20"/>
        </w:rPr>
        <w:t xml:space="preserve">absence de surcompensation ; </w:t>
      </w:r>
    </w:p>
    <w:p w14:paraId="559CFEDE" w14:textId="4FD6F196" w:rsidR="0023720A" w:rsidRPr="004F4F34" w:rsidRDefault="001B162F" w:rsidP="003D3C31">
      <w:pPr>
        <w:pStyle w:val="Paragraphedeliste"/>
        <w:numPr>
          <w:ilvl w:val="0"/>
          <w:numId w:val="34"/>
        </w:numPr>
        <w:spacing w:line="240" w:lineRule="auto"/>
        <w:contextualSpacing/>
        <w:jc w:val="both"/>
        <w:rPr>
          <w:rFonts w:ascii="Arial" w:hAnsi="Arial" w:cs="Arial"/>
          <w:b/>
          <w:bCs/>
          <w:color w:val="C00000"/>
          <w:sz w:val="28"/>
          <w:szCs w:val="28"/>
        </w:rPr>
      </w:pPr>
      <w:r w:rsidRPr="003D3C31">
        <w:rPr>
          <w:rFonts w:ascii="Arial" w:hAnsi="Arial" w:cs="Arial"/>
          <w:sz w:val="20"/>
          <w:szCs w:val="20"/>
        </w:rPr>
        <w:t>attribution de la mission de service public à l’issue d’une procédure de marché public. A défaut, le niveau de la compensation repose sur une analyse des coûts que pourrait encourir « une entreprise moyenne, bien gérée et adéquatement équipée ».</w:t>
      </w:r>
    </w:p>
    <w:p w14:paraId="32B3D1CB" w14:textId="77777777" w:rsidR="004F4F34" w:rsidRPr="003D3C31" w:rsidRDefault="004F4F34" w:rsidP="004F4F34">
      <w:pPr>
        <w:pStyle w:val="Paragraphedeliste"/>
        <w:spacing w:line="240" w:lineRule="auto"/>
        <w:ind w:left="710"/>
        <w:contextualSpacing/>
        <w:jc w:val="both"/>
        <w:rPr>
          <w:rFonts w:ascii="Arial" w:hAnsi="Arial" w:cs="Arial"/>
          <w:b/>
          <w:bCs/>
          <w:color w:val="C00000"/>
          <w:sz w:val="28"/>
          <w:szCs w:val="28"/>
        </w:rPr>
      </w:pPr>
    </w:p>
    <w:tbl>
      <w:tblPr>
        <w:tblStyle w:val="Grilledutableau"/>
        <w:tblW w:w="0" w:type="auto"/>
        <w:tblLook w:val="04A0" w:firstRow="1" w:lastRow="0" w:firstColumn="1" w:lastColumn="0" w:noHBand="0" w:noVBand="1"/>
      </w:tblPr>
      <w:tblGrid>
        <w:gridCol w:w="10456"/>
      </w:tblGrid>
      <w:tr w:rsidR="006A0323" w:rsidRPr="003D3C31" w14:paraId="59B2BDF9" w14:textId="77777777" w:rsidTr="00C16D8E">
        <w:tc>
          <w:tcPr>
            <w:tcW w:w="10456" w:type="dxa"/>
            <w:shd w:val="clear" w:color="auto" w:fill="FFFF00"/>
          </w:tcPr>
          <w:p w14:paraId="106A5104" w14:textId="7E226490" w:rsidR="006A0323" w:rsidRPr="003D3C31" w:rsidRDefault="006A0323" w:rsidP="003D3C31">
            <w:pPr>
              <w:spacing w:line="240" w:lineRule="auto"/>
              <w:contextualSpacing/>
              <w:jc w:val="both"/>
              <w:rPr>
                <w:rFonts w:ascii="Arial" w:hAnsi="Arial" w:cs="Arial"/>
                <w:sz w:val="20"/>
                <w:szCs w:val="20"/>
              </w:rPr>
            </w:pPr>
            <w:r w:rsidRPr="003D3C31">
              <w:rPr>
                <w:rFonts w:ascii="Arial" w:hAnsi="Arial" w:cs="Arial"/>
                <w:sz w:val="20"/>
                <w:szCs w:val="20"/>
              </w:rPr>
              <w:t xml:space="preserve">Si le financement est versé sur le fondement d'Altmark, l'aide est une compensation de service public ne revêtant pas la qualification d'aide d'Etat. Si le financement est versé sur la base de la Communication du 20 décembre, l'aide est une </w:t>
            </w:r>
            <w:r w:rsidRPr="003D3C31">
              <w:rPr>
                <w:rFonts w:ascii="Arial" w:hAnsi="Arial" w:cs="Arial"/>
                <w:b/>
                <w:bCs/>
                <w:sz w:val="20"/>
                <w:szCs w:val="20"/>
              </w:rPr>
              <w:t>compensation d'obligation de service public</w:t>
            </w:r>
            <w:r w:rsidRPr="003D3C31">
              <w:rPr>
                <w:rFonts w:ascii="Arial" w:hAnsi="Arial" w:cs="Arial"/>
                <w:sz w:val="20"/>
                <w:szCs w:val="20"/>
              </w:rPr>
              <w:t xml:space="preserve"> qualifiée d'aide d'Etat compatible.</w:t>
            </w:r>
          </w:p>
        </w:tc>
      </w:tr>
    </w:tbl>
    <w:p w14:paraId="2C6CEB4E" w14:textId="77777777" w:rsidR="00CA3F74" w:rsidRPr="00CA3F74" w:rsidRDefault="00CA3F74" w:rsidP="00CA3F74">
      <w:bookmarkStart w:id="0" w:name="_Toc31377248"/>
    </w:p>
    <w:p w14:paraId="6E551908" w14:textId="0878D15E" w:rsidR="0023720A" w:rsidRPr="004F4F34" w:rsidRDefault="0023720A" w:rsidP="004F4F34">
      <w:pPr>
        <w:pStyle w:val="Titre1"/>
        <w:numPr>
          <w:ilvl w:val="0"/>
          <w:numId w:val="7"/>
        </w:numPr>
        <w:spacing w:line="240" w:lineRule="auto"/>
        <w:jc w:val="both"/>
        <w:rPr>
          <w:rFonts w:ascii="Arial" w:eastAsia="Calibri" w:hAnsi="Arial" w:cs="Arial"/>
          <w:color w:val="C00000"/>
          <w:kern w:val="0"/>
          <w:sz w:val="24"/>
          <w:szCs w:val="24"/>
        </w:rPr>
      </w:pPr>
      <w:r w:rsidRPr="004F4F34">
        <w:rPr>
          <w:rFonts w:ascii="Arial" w:eastAsia="Calibri" w:hAnsi="Arial" w:cs="Arial"/>
          <w:color w:val="C00000"/>
          <w:kern w:val="0"/>
          <w:sz w:val="24"/>
          <w:szCs w:val="24"/>
        </w:rPr>
        <w:t xml:space="preserve">SIEG et paquet </w:t>
      </w:r>
      <w:proofErr w:type="spellStart"/>
      <w:r w:rsidRPr="004F4F34">
        <w:rPr>
          <w:rFonts w:ascii="Arial" w:eastAsia="Calibri" w:hAnsi="Arial" w:cs="Arial"/>
          <w:color w:val="C00000"/>
          <w:kern w:val="0"/>
          <w:sz w:val="24"/>
          <w:szCs w:val="24"/>
        </w:rPr>
        <w:t>Almunia</w:t>
      </w:r>
      <w:proofErr w:type="spellEnd"/>
      <w:r w:rsidRPr="004F4F34">
        <w:rPr>
          <w:rFonts w:ascii="Arial" w:eastAsia="Calibri" w:hAnsi="Arial" w:cs="Arial"/>
          <w:color w:val="C00000"/>
          <w:kern w:val="0"/>
          <w:sz w:val="24"/>
          <w:szCs w:val="24"/>
        </w:rPr>
        <w:t xml:space="preserve"> (20 décembre 2011)</w:t>
      </w:r>
      <w:bookmarkEnd w:id="0"/>
    </w:p>
    <w:p w14:paraId="773E5FCF" w14:textId="77777777" w:rsidR="00662711" w:rsidRPr="003D3C31" w:rsidRDefault="00662711"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 w:val="18"/>
          <w:szCs w:val="18"/>
        </w:rPr>
      </w:pPr>
    </w:p>
    <w:p w14:paraId="757EE5B2" w14:textId="77777777" w:rsidR="0053459B" w:rsidRPr="003D3C31" w:rsidRDefault="0053459B" w:rsidP="003D3C31">
      <w:pPr>
        <w:pStyle w:val="FSE-Modedemploi"/>
        <w:numPr>
          <w:ilvl w:val="0"/>
          <w:numId w:val="21"/>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r w:rsidRPr="003D3C31">
        <w:rPr>
          <w:rFonts w:ascii="Arial" w:hAnsi="Arial" w:cs="Arial"/>
          <w:b/>
          <w:bCs/>
          <w:color w:val="E36C0A" w:themeColor="accent6" w:themeShade="BF"/>
          <w:szCs w:val="20"/>
        </w:rPr>
        <w:t>Généralités</w:t>
      </w:r>
    </w:p>
    <w:p w14:paraId="42C6A2A3" w14:textId="77777777" w:rsidR="0053459B" w:rsidRPr="003D3C31" w:rsidRDefault="0053459B"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 w:val="18"/>
          <w:szCs w:val="18"/>
        </w:rPr>
      </w:pPr>
    </w:p>
    <w:p w14:paraId="65FB99F6" w14:textId="619E4F3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Lorsqu’il a été déterminé que l’activité économique concernée est une mission d’intérêt général et que les trois premiers critères de la jurisprudence Altmark sont vérifiés, le financement public doit être conforme à la réglementation des aides d’Etat applicable aux compensations</w:t>
      </w:r>
      <w:r w:rsidR="007A18E6" w:rsidRPr="003D3C31">
        <w:rPr>
          <w:rFonts w:ascii="Arial" w:hAnsi="Arial" w:cs="Arial"/>
          <w:szCs w:val="20"/>
        </w:rPr>
        <w:t xml:space="preserve"> d’obligations de service public (OSP)</w:t>
      </w:r>
      <w:r w:rsidRPr="003D3C31">
        <w:rPr>
          <w:rFonts w:ascii="Arial" w:hAnsi="Arial" w:cs="Arial"/>
          <w:szCs w:val="20"/>
        </w:rPr>
        <w:t xml:space="preserve"> : le paquet « </w:t>
      </w:r>
      <w:proofErr w:type="spellStart"/>
      <w:r w:rsidRPr="003D3C31">
        <w:rPr>
          <w:rFonts w:ascii="Arial" w:hAnsi="Arial" w:cs="Arial"/>
          <w:szCs w:val="20"/>
        </w:rPr>
        <w:t>Almunia</w:t>
      </w:r>
      <w:proofErr w:type="spellEnd"/>
      <w:r w:rsidRPr="003D3C31">
        <w:rPr>
          <w:rFonts w:ascii="Arial" w:hAnsi="Arial" w:cs="Arial"/>
          <w:szCs w:val="20"/>
        </w:rPr>
        <w:t xml:space="preserve"> ». Celui-ci détermine les conditions dans lesquelles l’aide est considérée comme compatible avec le marché intérieur et pourra, ou non, être exemptée de l’obligation de notification prévue à l’article 108 § 3 TFUE.</w:t>
      </w:r>
    </w:p>
    <w:p w14:paraId="004E6C0E" w14:textId="7777777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
    <w:p w14:paraId="5B9407F6" w14:textId="7777777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 xml:space="preserve">Ce paquet est composé de trois textes : </w:t>
      </w:r>
    </w:p>
    <w:p w14:paraId="59024F05" w14:textId="1151EB7E"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 xml:space="preserve">la décision 2012/21/UE relative à l’application de l’article 106§2 du TFUE aux </w:t>
      </w:r>
      <w:r w:rsidR="003C2B40" w:rsidRPr="003D3C31">
        <w:rPr>
          <w:rFonts w:ascii="Arial" w:hAnsi="Arial" w:cs="Arial"/>
          <w:szCs w:val="20"/>
        </w:rPr>
        <w:t>aides d’Etat</w:t>
      </w:r>
      <w:r w:rsidRPr="003D3C31">
        <w:rPr>
          <w:rFonts w:ascii="Arial" w:hAnsi="Arial" w:cs="Arial"/>
          <w:szCs w:val="20"/>
        </w:rPr>
        <w:t xml:space="preserve"> sous forme de compensations de service public octroyées à certaines entreprises chargées de la gestion de services d’intérêt économique général (décision </w:t>
      </w:r>
      <w:proofErr w:type="spellStart"/>
      <w:r w:rsidRPr="003D3C31">
        <w:rPr>
          <w:rFonts w:ascii="Arial" w:hAnsi="Arial" w:cs="Arial"/>
          <w:szCs w:val="20"/>
        </w:rPr>
        <w:t>Almunia</w:t>
      </w:r>
      <w:proofErr w:type="spellEnd"/>
      <w:r w:rsidRPr="003D3C31">
        <w:rPr>
          <w:rFonts w:ascii="Arial" w:hAnsi="Arial" w:cs="Arial"/>
          <w:szCs w:val="20"/>
        </w:rPr>
        <w:t>)</w:t>
      </w:r>
      <w:r w:rsidR="007A18E6" w:rsidRPr="003D3C31">
        <w:rPr>
          <w:rFonts w:ascii="Arial" w:hAnsi="Arial" w:cs="Arial"/>
          <w:szCs w:val="20"/>
        </w:rPr>
        <w:t xml:space="preserve"> </w:t>
      </w:r>
      <w:r w:rsidRPr="003D3C31">
        <w:rPr>
          <w:rFonts w:ascii="Arial" w:hAnsi="Arial" w:cs="Arial"/>
          <w:szCs w:val="20"/>
        </w:rPr>
        <w:t xml:space="preserve">; </w:t>
      </w:r>
    </w:p>
    <w:p w14:paraId="489E5532" w14:textId="0EC3F394"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roofErr w:type="gramStart"/>
      <w:r w:rsidRPr="003D3C31">
        <w:rPr>
          <w:rFonts w:ascii="Arial" w:hAnsi="Arial" w:cs="Arial"/>
          <w:szCs w:val="20"/>
        </w:rPr>
        <w:t>la</w:t>
      </w:r>
      <w:proofErr w:type="gramEnd"/>
      <w:r w:rsidRPr="003D3C31">
        <w:rPr>
          <w:rFonts w:ascii="Arial" w:hAnsi="Arial" w:cs="Arial"/>
          <w:szCs w:val="20"/>
        </w:rPr>
        <w:t xml:space="preserve"> communication 2012/C 8/03 intitulée « Encadrement de l’Union européenne applicable aux </w:t>
      </w:r>
      <w:r w:rsidR="003C2B40" w:rsidRPr="003D3C31">
        <w:rPr>
          <w:rFonts w:ascii="Arial" w:hAnsi="Arial" w:cs="Arial"/>
          <w:szCs w:val="20"/>
        </w:rPr>
        <w:t>aides d’Etat</w:t>
      </w:r>
      <w:r w:rsidRPr="003D3C31">
        <w:rPr>
          <w:rFonts w:ascii="Arial" w:hAnsi="Arial" w:cs="Arial"/>
          <w:szCs w:val="20"/>
        </w:rPr>
        <w:t xml:space="preserve"> sous forme de compensations de service public » (encadrement </w:t>
      </w:r>
      <w:proofErr w:type="spellStart"/>
      <w:r w:rsidRPr="003D3C31">
        <w:rPr>
          <w:rFonts w:ascii="Arial" w:hAnsi="Arial" w:cs="Arial"/>
          <w:szCs w:val="20"/>
        </w:rPr>
        <w:t>Almunia</w:t>
      </w:r>
      <w:proofErr w:type="spellEnd"/>
      <w:r w:rsidRPr="003D3C31">
        <w:rPr>
          <w:rFonts w:ascii="Arial" w:hAnsi="Arial" w:cs="Arial"/>
          <w:szCs w:val="20"/>
        </w:rPr>
        <w:t>);</w:t>
      </w:r>
    </w:p>
    <w:p w14:paraId="7D374BF5" w14:textId="0E642E17"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la communication 2012/C 8/02 relative à l’application des règles de l’Union européenne en matière d’</w:t>
      </w:r>
      <w:r w:rsidR="003C2B40" w:rsidRPr="003D3C31">
        <w:rPr>
          <w:rFonts w:ascii="Arial" w:hAnsi="Arial" w:cs="Arial"/>
          <w:szCs w:val="20"/>
        </w:rPr>
        <w:t>aides d’Etat</w:t>
      </w:r>
      <w:r w:rsidRPr="003D3C31">
        <w:rPr>
          <w:rFonts w:ascii="Arial" w:hAnsi="Arial" w:cs="Arial"/>
          <w:szCs w:val="20"/>
        </w:rPr>
        <w:t xml:space="preserve"> aux compensations octroyées pour la prestation de services d’intérêt économique général (communication </w:t>
      </w:r>
      <w:proofErr w:type="spellStart"/>
      <w:r w:rsidRPr="003D3C31">
        <w:rPr>
          <w:rFonts w:ascii="Arial" w:hAnsi="Arial" w:cs="Arial"/>
          <w:szCs w:val="20"/>
        </w:rPr>
        <w:t>Almunia</w:t>
      </w:r>
      <w:proofErr w:type="spellEnd"/>
      <w:r w:rsidRPr="003D3C31">
        <w:rPr>
          <w:rFonts w:ascii="Arial" w:hAnsi="Arial" w:cs="Arial"/>
          <w:szCs w:val="20"/>
        </w:rPr>
        <w:t>).</w:t>
      </w:r>
    </w:p>
    <w:p w14:paraId="4D69EC51" w14:textId="7777777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p>
    <w:p w14:paraId="739BB212" w14:textId="69E42F06"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La compatibilité des compensations d</w:t>
      </w:r>
      <w:r w:rsidR="007A18E6" w:rsidRPr="003D3C31">
        <w:rPr>
          <w:rFonts w:ascii="Arial" w:hAnsi="Arial" w:cs="Arial"/>
          <w:szCs w:val="20"/>
        </w:rPr>
        <w:t xml:space="preserve">’obligations de service public </w:t>
      </w:r>
      <w:r w:rsidRPr="003D3C31">
        <w:rPr>
          <w:rFonts w:ascii="Arial" w:hAnsi="Arial" w:cs="Arial"/>
          <w:szCs w:val="20"/>
        </w:rPr>
        <w:t>repose sur les trois éléments suivants</w:t>
      </w:r>
      <w:r w:rsidRPr="003D3C31">
        <w:rPr>
          <w:rFonts w:ascii="Arial" w:hAnsi="Arial" w:cs="Arial"/>
          <w:szCs w:val="20"/>
          <w:vertAlign w:val="superscript"/>
        </w:rPr>
        <w:footnoteReference w:id="1"/>
      </w:r>
      <w:r w:rsidRPr="003D3C31">
        <w:rPr>
          <w:rFonts w:ascii="Arial" w:hAnsi="Arial" w:cs="Arial"/>
          <w:szCs w:val="20"/>
          <w:vertAlign w:val="superscript"/>
        </w:rPr>
        <w:t xml:space="preserve"> </w:t>
      </w:r>
      <w:r w:rsidRPr="003D3C31">
        <w:rPr>
          <w:rFonts w:ascii="Arial" w:hAnsi="Arial" w:cs="Arial"/>
          <w:szCs w:val="20"/>
        </w:rPr>
        <w:t xml:space="preserve">: </w:t>
      </w:r>
    </w:p>
    <w:p w14:paraId="370B43CB" w14:textId="77777777"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l’existence d’un acte exprès d’attribution de la mission de SIEG (mandat) définissant précisément les obligations de service public à la charge des opérateurs ;</w:t>
      </w:r>
    </w:p>
    <w:p w14:paraId="463481E9" w14:textId="77777777"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le paramétrage ex ante de la compensation des surcoûts ;</w:t>
      </w:r>
    </w:p>
    <w:p w14:paraId="6768A634" w14:textId="71ECE4A0" w:rsidR="0011789C" w:rsidRPr="003D3C31" w:rsidRDefault="0011789C" w:rsidP="003D3C31">
      <w:pPr>
        <w:pStyle w:val="FSE-Modedemploi"/>
        <w:numPr>
          <w:ilvl w:val="0"/>
          <w:numId w:val="16"/>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l’absence de surcompensation au profit des opérateurs de SIEG</w:t>
      </w:r>
      <w:r w:rsidR="00621186" w:rsidRPr="003D3C31">
        <w:rPr>
          <w:rFonts w:ascii="Arial" w:hAnsi="Arial" w:cs="Arial"/>
          <w:szCs w:val="20"/>
        </w:rPr>
        <w:t xml:space="preserve"> et le contrôle régulier de l’absence de surcompensation</w:t>
      </w:r>
      <w:r w:rsidR="003C2B40" w:rsidRPr="003D3C31">
        <w:rPr>
          <w:rFonts w:ascii="Arial" w:hAnsi="Arial" w:cs="Arial"/>
          <w:szCs w:val="20"/>
        </w:rPr>
        <w:t>.</w:t>
      </w:r>
    </w:p>
    <w:p w14:paraId="34BCFB92" w14:textId="7777777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ind w:left="720"/>
        <w:rPr>
          <w:rFonts w:ascii="Arial" w:hAnsi="Arial" w:cs="Arial"/>
          <w:szCs w:val="20"/>
        </w:rPr>
      </w:pPr>
    </w:p>
    <w:p w14:paraId="510BF258" w14:textId="77777777" w:rsidR="0011789C" w:rsidRPr="003D3C31" w:rsidRDefault="0011789C"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Le mandat doit obéir aux mêmes règles que celles exigées par le paquet Monti-</w:t>
      </w:r>
      <w:proofErr w:type="spellStart"/>
      <w:r w:rsidRPr="003D3C31">
        <w:rPr>
          <w:rFonts w:ascii="Arial" w:hAnsi="Arial" w:cs="Arial"/>
          <w:szCs w:val="20"/>
        </w:rPr>
        <w:t>Kroes</w:t>
      </w:r>
      <w:proofErr w:type="spellEnd"/>
      <w:r w:rsidRPr="003D3C31">
        <w:rPr>
          <w:rFonts w:ascii="Arial" w:hAnsi="Arial" w:cs="Arial"/>
          <w:szCs w:val="20"/>
        </w:rPr>
        <w:t xml:space="preserve"> en 2005. Il doit notamment mentionner :</w:t>
      </w:r>
    </w:p>
    <w:p w14:paraId="525CFFCC" w14:textId="77777777" w:rsidR="0011789C" w:rsidRPr="003D3C31" w:rsidRDefault="0011789C" w:rsidP="003D3C31">
      <w:pPr>
        <w:pStyle w:val="FSE-Modedemploi"/>
        <w:numPr>
          <w:ilvl w:val="0"/>
          <w:numId w:val="17"/>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la nature et la durée des obligations de service public ;</w:t>
      </w:r>
    </w:p>
    <w:p w14:paraId="54CE092E" w14:textId="77777777" w:rsidR="0011789C" w:rsidRPr="003D3C31" w:rsidRDefault="0011789C" w:rsidP="003D3C31">
      <w:pPr>
        <w:pStyle w:val="FSE-Modedemploi"/>
        <w:numPr>
          <w:ilvl w:val="0"/>
          <w:numId w:val="17"/>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l’entreprise et, s’il y a lieu, le territoire concerné ;</w:t>
      </w:r>
    </w:p>
    <w:p w14:paraId="7F42FBE7" w14:textId="77777777" w:rsidR="0011789C" w:rsidRPr="003D3C31" w:rsidRDefault="0011789C" w:rsidP="003D3C31">
      <w:pPr>
        <w:pStyle w:val="FSE-Modedemploi"/>
        <w:numPr>
          <w:ilvl w:val="0"/>
          <w:numId w:val="17"/>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la nature de tout droit exclusif ou spécial octroyé à l’entreprise par l’autorité octroyant l’aide ;</w:t>
      </w:r>
    </w:p>
    <w:p w14:paraId="47C6D716" w14:textId="77777777" w:rsidR="0011789C" w:rsidRPr="003D3C31" w:rsidRDefault="0011789C" w:rsidP="003D3C31">
      <w:pPr>
        <w:pStyle w:val="FSE-Modedemploi"/>
        <w:numPr>
          <w:ilvl w:val="0"/>
          <w:numId w:val="17"/>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la description du mécanisme de compensation et les paramètres de calcul, de contrôle et de révision de la compensation ;</w:t>
      </w:r>
    </w:p>
    <w:p w14:paraId="32363EBC" w14:textId="77777777" w:rsidR="0011789C" w:rsidRPr="003D3C31" w:rsidRDefault="0011789C" w:rsidP="003D3C31">
      <w:pPr>
        <w:pStyle w:val="FSE-Modedemploi"/>
        <w:numPr>
          <w:ilvl w:val="0"/>
          <w:numId w:val="17"/>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szCs w:val="20"/>
        </w:rPr>
      </w:pPr>
      <w:r w:rsidRPr="003D3C31">
        <w:rPr>
          <w:rFonts w:ascii="Arial" w:hAnsi="Arial" w:cs="Arial"/>
          <w:szCs w:val="20"/>
        </w:rPr>
        <w:t>les modalités de récupération des éventuelles surcompensations et les moyens d’éviter ces dernières.</w:t>
      </w:r>
    </w:p>
    <w:p w14:paraId="6461BEDD" w14:textId="09978F57" w:rsidR="00267A66" w:rsidRPr="003D3C31" w:rsidRDefault="00267A66"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ind w:left="720"/>
        <w:rPr>
          <w:rFonts w:ascii="Arial" w:hAnsi="Arial" w:cs="Arial"/>
          <w:b/>
          <w:bCs/>
          <w:color w:val="E36C0A" w:themeColor="accent6" w:themeShade="BF"/>
          <w:szCs w:val="20"/>
        </w:rPr>
      </w:pPr>
    </w:p>
    <w:p w14:paraId="1662BDF2" w14:textId="77777777" w:rsidR="00267A66" w:rsidRPr="003D3C31" w:rsidRDefault="00267A66"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ind w:left="720"/>
        <w:rPr>
          <w:rFonts w:ascii="Arial" w:hAnsi="Arial" w:cs="Arial"/>
          <w:b/>
          <w:bCs/>
          <w:color w:val="E36C0A" w:themeColor="accent6" w:themeShade="BF"/>
          <w:szCs w:val="20"/>
        </w:rPr>
      </w:pPr>
    </w:p>
    <w:p w14:paraId="7F1FBE17" w14:textId="6D01EAFF" w:rsidR="00267A66" w:rsidRPr="003D3C31" w:rsidRDefault="00267A66" w:rsidP="003D3C31">
      <w:pPr>
        <w:pStyle w:val="FSE-Modedemploi"/>
        <w:numPr>
          <w:ilvl w:val="0"/>
          <w:numId w:val="21"/>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r w:rsidRPr="003D3C31">
        <w:rPr>
          <w:rFonts w:ascii="Arial" w:hAnsi="Arial" w:cs="Arial"/>
          <w:b/>
          <w:bCs/>
          <w:color w:val="E36C0A" w:themeColor="accent6" w:themeShade="BF"/>
          <w:szCs w:val="20"/>
        </w:rPr>
        <w:t xml:space="preserve">Règles découlant de la Décision </w:t>
      </w:r>
      <w:proofErr w:type="spellStart"/>
      <w:r w:rsidRPr="003D3C31">
        <w:rPr>
          <w:rFonts w:ascii="Arial" w:hAnsi="Arial" w:cs="Arial"/>
          <w:b/>
          <w:bCs/>
          <w:color w:val="E36C0A" w:themeColor="accent6" w:themeShade="BF"/>
          <w:szCs w:val="20"/>
        </w:rPr>
        <w:t>Almunia</w:t>
      </w:r>
      <w:proofErr w:type="spellEnd"/>
      <w:r w:rsidRPr="003D3C31">
        <w:rPr>
          <w:rFonts w:ascii="Arial" w:hAnsi="Arial" w:cs="Arial"/>
          <w:b/>
          <w:bCs/>
          <w:color w:val="E36C0A" w:themeColor="accent6" w:themeShade="BF"/>
          <w:szCs w:val="20"/>
        </w:rPr>
        <w:t xml:space="preserve"> 2012/21/UE du 20 décembre 2011</w:t>
      </w:r>
    </w:p>
    <w:p w14:paraId="661180AB" w14:textId="77777777" w:rsidR="0011789C" w:rsidRPr="003D3C31" w:rsidRDefault="0011789C" w:rsidP="003D3C31">
      <w:pPr>
        <w:spacing w:after="0" w:line="240" w:lineRule="auto"/>
        <w:jc w:val="both"/>
        <w:rPr>
          <w:rFonts w:ascii="Arial" w:hAnsi="Arial" w:cs="Arial"/>
          <w:sz w:val="24"/>
          <w:szCs w:val="24"/>
          <w:lang w:eastAsia="fr-FR" w:bidi="fr-FR"/>
        </w:rPr>
      </w:pPr>
    </w:p>
    <w:p w14:paraId="68F92C08" w14:textId="6FD6DA3F" w:rsidR="00E02117" w:rsidRPr="003D3C31" w:rsidRDefault="00E02117" w:rsidP="003D3C31">
      <w:pPr>
        <w:pStyle w:val="Paragraphedeliste"/>
        <w:numPr>
          <w:ilvl w:val="0"/>
          <w:numId w:val="24"/>
        </w:numPr>
        <w:spacing w:line="240" w:lineRule="auto"/>
        <w:contextualSpacing/>
        <w:jc w:val="both"/>
        <w:rPr>
          <w:rFonts w:ascii="Arial" w:hAnsi="Arial" w:cs="Arial"/>
          <w:b/>
          <w:bCs/>
          <w:sz w:val="18"/>
          <w:szCs w:val="18"/>
        </w:rPr>
      </w:pPr>
      <w:r w:rsidRPr="003D3C31">
        <w:rPr>
          <w:rFonts w:ascii="Arial" w:hAnsi="Arial" w:cs="Arial"/>
          <w:b/>
          <w:bCs/>
          <w:sz w:val="18"/>
          <w:szCs w:val="18"/>
        </w:rPr>
        <w:t>Champs d’application</w:t>
      </w:r>
    </w:p>
    <w:p w14:paraId="3A1B1170" w14:textId="383079D9"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La décision s’applique aux compensations </w:t>
      </w:r>
      <w:r w:rsidR="007A18E6" w:rsidRPr="003D3C31">
        <w:rPr>
          <w:rFonts w:ascii="Arial" w:hAnsi="Arial" w:cs="Arial"/>
          <w:sz w:val="20"/>
          <w:szCs w:val="20"/>
        </w:rPr>
        <w:t xml:space="preserve">d’obligations </w:t>
      </w:r>
      <w:r w:rsidRPr="003D3C31">
        <w:rPr>
          <w:rFonts w:ascii="Arial" w:hAnsi="Arial" w:cs="Arial"/>
          <w:sz w:val="20"/>
          <w:szCs w:val="20"/>
        </w:rPr>
        <w:t>de service public :</w:t>
      </w:r>
    </w:p>
    <w:p w14:paraId="3B78CA0F" w14:textId="77777777"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w:t>
      </w:r>
      <w:r w:rsidRPr="003D3C31">
        <w:rPr>
          <w:rFonts w:ascii="Arial" w:hAnsi="Arial" w:cs="Arial"/>
          <w:sz w:val="20"/>
          <w:szCs w:val="20"/>
        </w:rPr>
        <w:tab/>
        <w:t>ne dépassant pas un montant annuel de 15 millions d’euros par SIEG dans des domaines autres que le transport et les infrastructures de transport ;</w:t>
      </w:r>
    </w:p>
    <w:p w14:paraId="23EC6928" w14:textId="77777777"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w:t>
      </w:r>
      <w:r w:rsidRPr="003D3C31">
        <w:rPr>
          <w:rFonts w:ascii="Arial" w:hAnsi="Arial" w:cs="Arial"/>
          <w:sz w:val="20"/>
          <w:szCs w:val="20"/>
        </w:rPr>
        <w:tab/>
        <w:t>octroyées aux hôpitaux ;</w:t>
      </w:r>
    </w:p>
    <w:p w14:paraId="3F8AF6DA" w14:textId="280BBA19"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w:t>
      </w:r>
      <w:r w:rsidRPr="003D3C31">
        <w:rPr>
          <w:rFonts w:ascii="Arial" w:hAnsi="Arial" w:cs="Arial"/>
          <w:sz w:val="20"/>
          <w:szCs w:val="20"/>
        </w:rPr>
        <w:tab/>
        <w:t>octroyées pour des SIEG concernant les soins de santé, la garde d’enfants, l’accès et la réinsertion sur le marché du travail, le logement social</w:t>
      </w:r>
      <w:r w:rsidR="003C2B40" w:rsidRPr="003D3C31">
        <w:rPr>
          <w:rFonts w:ascii="Arial" w:hAnsi="Arial" w:cs="Arial"/>
          <w:sz w:val="20"/>
          <w:szCs w:val="20"/>
        </w:rPr>
        <w:t>,</w:t>
      </w:r>
      <w:r w:rsidRPr="003D3C31">
        <w:rPr>
          <w:rFonts w:ascii="Arial" w:hAnsi="Arial" w:cs="Arial"/>
          <w:sz w:val="20"/>
          <w:szCs w:val="20"/>
        </w:rPr>
        <w:t xml:space="preserve"> les soins et l’inclusion sociale des groupes vulnérables (aucune limite de montant d’aide) ;</w:t>
      </w:r>
    </w:p>
    <w:p w14:paraId="512CE26F" w14:textId="0998BCED"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w:t>
      </w:r>
      <w:r w:rsidRPr="003D3C31">
        <w:rPr>
          <w:rFonts w:ascii="Arial" w:hAnsi="Arial" w:cs="Arial"/>
          <w:sz w:val="20"/>
          <w:szCs w:val="20"/>
        </w:rPr>
        <w:tab/>
        <w:t>dans le domaine du transport maritime et aérien pour les lignes avec les îles dont le trafic annuel ne dépasse pas 300</w:t>
      </w:r>
      <w:r w:rsidR="00C16D8E" w:rsidRPr="003D3C31">
        <w:rPr>
          <w:rFonts w:ascii="Arial" w:hAnsi="Arial" w:cs="Arial"/>
          <w:sz w:val="20"/>
          <w:szCs w:val="20"/>
        </w:rPr>
        <w:t xml:space="preserve"> </w:t>
      </w:r>
      <w:r w:rsidRPr="003D3C31">
        <w:rPr>
          <w:rFonts w:ascii="Arial" w:hAnsi="Arial" w:cs="Arial"/>
          <w:sz w:val="20"/>
          <w:szCs w:val="20"/>
        </w:rPr>
        <w:t>000 passagers ; aux aéroports et ports dont le trafic annuel moyen des deux exercices précédents ne dépasse pas respectivement 200</w:t>
      </w:r>
      <w:r w:rsidR="00C16D8E" w:rsidRPr="003D3C31">
        <w:rPr>
          <w:rFonts w:ascii="Arial" w:hAnsi="Arial" w:cs="Arial"/>
          <w:sz w:val="20"/>
          <w:szCs w:val="20"/>
        </w:rPr>
        <w:t xml:space="preserve"> </w:t>
      </w:r>
      <w:r w:rsidRPr="003D3C31">
        <w:rPr>
          <w:rFonts w:ascii="Arial" w:hAnsi="Arial" w:cs="Arial"/>
          <w:sz w:val="20"/>
          <w:szCs w:val="20"/>
        </w:rPr>
        <w:t>000 et 300</w:t>
      </w:r>
      <w:r w:rsidR="00C16D8E" w:rsidRPr="003D3C31">
        <w:rPr>
          <w:rFonts w:ascii="Arial" w:hAnsi="Arial" w:cs="Arial"/>
          <w:sz w:val="20"/>
          <w:szCs w:val="20"/>
        </w:rPr>
        <w:t xml:space="preserve"> </w:t>
      </w:r>
      <w:r w:rsidRPr="003D3C31">
        <w:rPr>
          <w:rFonts w:ascii="Arial" w:hAnsi="Arial" w:cs="Arial"/>
          <w:sz w:val="20"/>
          <w:szCs w:val="20"/>
        </w:rPr>
        <w:t>000 passagers.</w:t>
      </w:r>
    </w:p>
    <w:p w14:paraId="41F7A2FA" w14:textId="77777777" w:rsidR="00E02117" w:rsidRPr="003D3C31" w:rsidRDefault="00E02117" w:rsidP="003D3C31">
      <w:pPr>
        <w:spacing w:line="240" w:lineRule="auto"/>
        <w:contextualSpacing/>
        <w:jc w:val="both"/>
        <w:rPr>
          <w:rFonts w:ascii="Arial" w:hAnsi="Arial" w:cs="Arial"/>
          <w:sz w:val="20"/>
          <w:szCs w:val="20"/>
        </w:rPr>
      </w:pPr>
    </w:p>
    <w:p w14:paraId="6F753127" w14:textId="43948080"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Dès lors que l’une des situations précédentes existe, la décision SIEG s’applique, sinon il faut recourir à une notification sous l’empire de l’encadrement </w:t>
      </w:r>
      <w:proofErr w:type="spellStart"/>
      <w:r w:rsidRPr="003D3C31">
        <w:rPr>
          <w:rFonts w:ascii="Arial" w:hAnsi="Arial" w:cs="Arial"/>
          <w:sz w:val="20"/>
          <w:szCs w:val="20"/>
        </w:rPr>
        <w:t>Almunia</w:t>
      </w:r>
      <w:proofErr w:type="spellEnd"/>
      <w:r w:rsidRPr="003D3C31">
        <w:rPr>
          <w:rFonts w:ascii="Arial" w:hAnsi="Arial" w:cs="Arial"/>
          <w:sz w:val="20"/>
          <w:szCs w:val="20"/>
        </w:rPr>
        <w:t xml:space="preserve"> (voir point suivant).</w:t>
      </w:r>
    </w:p>
    <w:p w14:paraId="3D20E6FC" w14:textId="6AF96CC6" w:rsidR="00D8460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La décision ne s’applique pas aux </w:t>
      </w:r>
      <w:r w:rsidR="003C2B40" w:rsidRPr="003D3C31">
        <w:rPr>
          <w:rFonts w:ascii="Arial" w:hAnsi="Arial" w:cs="Arial"/>
          <w:sz w:val="20"/>
          <w:szCs w:val="20"/>
        </w:rPr>
        <w:t>aides d’Etat</w:t>
      </w:r>
      <w:r w:rsidRPr="003D3C31">
        <w:rPr>
          <w:rFonts w:ascii="Arial" w:hAnsi="Arial" w:cs="Arial"/>
          <w:sz w:val="20"/>
          <w:szCs w:val="20"/>
        </w:rPr>
        <w:t xml:space="preserve"> sous forme de compensations</w:t>
      </w:r>
      <w:r w:rsidR="007A18E6" w:rsidRPr="003D3C31">
        <w:rPr>
          <w:rFonts w:ascii="Arial" w:hAnsi="Arial" w:cs="Arial"/>
          <w:sz w:val="20"/>
          <w:szCs w:val="20"/>
        </w:rPr>
        <w:t xml:space="preserve"> d’obligations</w:t>
      </w:r>
      <w:r w:rsidRPr="003D3C31">
        <w:rPr>
          <w:rFonts w:ascii="Arial" w:hAnsi="Arial" w:cs="Arial"/>
          <w:sz w:val="20"/>
          <w:szCs w:val="20"/>
        </w:rPr>
        <w:t xml:space="preserve"> de service public accordées à des entreprises dans le domaine du transport terrestre.</w:t>
      </w:r>
    </w:p>
    <w:p w14:paraId="58B662D5" w14:textId="3FF4CEED" w:rsidR="00E02117" w:rsidRPr="003D3C31" w:rsidRDefault="00E02117" w:rsidP="003D3C31">
      <w:pPr>
        <w:pStyle w:val="Paragraphedeliste"/>
        <w:numPr>
          <w:ilvl w:val="0"/>
          <w:numId w:val="24"/>
        </w:numPr>
        <w:spacing w:line="240" w:lineRule="auto"/>
        <w:contextualSpacing/>
        <w:jc w:val="both"/>
        <w:rPr>
          <w:rFonts w:ascii="Arial" w:hAnsi="Arial" w:cs="Arial"/>
          <w:b/>
          <w:bCs/>
          <w:sz w:val="18"/>
          <w:szCs w:val="18"/>
        </w:rPr>
      </w:pPr>
      <w:r w:rsidRPr="003D3C31">
        <w:rPr>
          <w:rFonts w:ascii="Arial" w:hAnsi="Arial" w:cs="Arial"/>
          <w:b/>
          <w:bCs/>
          <w:sz w:val="18"/>
          <w:szCs w:val="18"/>
        </w:rPr>
        <w:t>Le mandat</w:t>
      </w:r>
    </w:p>
    <w:p w14:paraId="67FA7685" w14:textId="44554DAB"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Il doit exister un mandat remplissant les trois premières conditions de l’arrêt Altmark (définition claire des obligations de service public, paramètres de calcul de la compensation préalablement établis de façon objective et transparente, compensation limitée au strict nécessaire, mention de droits exclusifs ou spéciaux). Ce mandat doit également faire référence à la décision.</w:t>
      </w:r>
    </w:p>
    <w:p w14:paraId="1791853F" w14:textId="44B1797C" w:rsidR="00F97153" w:rsidRPr="003D3C31" w:rsidRDefault="00F97153" w:rsidP="003D3C31">
      <w:pPr>
        <w:spacing w:line="240" w:lineRule="auto"/>
        <w:contextualSpacing/>
        <w:jc w:val="both"/>
        <w:rPr>
          <w:rFonts w:ascii="Arial" w:hAnsi="Arial" w:cs="Arial"/>
          <w:sz w:val="20"/>
          <w:szCs w:val="20"/>
        </w:rPr>
      </w:pPr>
    </w:p>
    <w:p w14:paraId="55BA5CF9" w14:textId="2138DD5C" w:rsidR="00F97153" w:rsidRPr="003D3C31" w:rsidRDefault="00F97153" w:rsidP="003D3C31">
      <w:pPr>
        <w:autoSpaceDE w:val="0"/>
        <w:autoSpaceDN w:val="0"/>
        <w:adjustRightInd w:val="0"/>
        <w:spacing w:after="0" w:line="240" w:lineRule="auto"/>
        <w:jc w:val="both"/>
        <w:rPr>
          <w:rFonts w:ascii="Arial" w:hAnsi="Arial" w:cs="Arial"/>
          <w:lang w:eastAsia="fr-FR"/>
        </w:rPr>
      </w:pPr>
      <w:r w:rsidRPr="003D3C31">
        <w:rPr>
          <w:rFonts w:ascii="Arial" w:hAnsi="Arial" w:cs="Arial"/>
          <w:sz w:val="20"/>
          <w:szCs w:val="20"/>
        </w:rPr>
        <w:t>Il peut revêtir différentes formes (décision unilatérale, délibération, contrat, etc.) mais doit toujours être conforme à la réglementation relative à la commande publique si l'autorité publique qui instaure le SIEG est un pouvoir adjudicateur et que le mandat répond à l'un de ses besoins en matière de travaux, fournitures ou services.</w:t>
      </w:r>
    </w:p>
    <w:p w14:paraId="0EA1B0CC" w14:textId="77777777" w:rsidR="00E02117" w:rsidRPr="003D3C31" w:rsidRDefault="00E02117" w:rsidP="003D3C31">
      <w:pPr>
        <w:spacing w:line="240" w:lineRule="auto"/>
        <w:contextualSpacing/>
        <w:jc w:val="both"/>
        <w:rPr>
          <w:rFonts w:ascii="Arial" w:hAnsi="Arial" w:cs="Arial"/>
          <w:sz w:val="20"/>
          <w:szCs w:val="20"/>
        </w:rPr>
      </w:pPr>
    </w:p>
    <w:p w14:paraId="155246C2" w14:textId="7878A1A7" w:rsidR="00E02117" w:rsidRPr="003D3C31" w:rsidRDefault="00E02117" w:rsidP="003D3C31">
      <w:pPr>
        <w:spacing w:line="240" w:lineRule="auto"/>
        <w:contextualSpacing/>
        <w:jc w:val="both"/>
        <w:rPr>
          <w:rFonts w:ascii="Arial" w:hAnsi="Arial" w:cs="Arial"/>
          <w:sz w:val="18"/>
          <w:szCs w:val="18"/>
        </w:rPr>
      </w:pPr>
      <w:r w:rsidRPr="003D3C31">
        <w:rPr>
          <w:rFonts w:ascii="Arial" w:hAnsi="Arial" w:cs="Arial"/>
          <w:sz w:val="20"/>
          <w:szCs w:val="20"/>
        </w:rPr>
        <w:t>Le mandat ne peut dépasser 10 ans sauf si le SIEG implique l’amortissement d’un investissement significatif sur une durée plus longue qui peut être justifié selon les principes comptables généralement admis. Au terme du mandat, le bénéficiaire peut se voir à nouveau confier la prestation de SIEG, sous réserve du respect des règles applicables aux aides d’Etat et aux marchés publics</w:t>
      </w:r>
      <w:r w:rsidRPr="003D3C31">
        <w:rPr>
          <w:rFonts w:ascii="Arial" w:hAnsi="Arial" w:cs="Arial"/>
          <w:sz w:val="18"/>
          <w:szCs w:val="18"/>
        </w:rPr>
        <w:t>.</w:t>
      </w:r>
    </w:p>
    <w:p w14:paraId="10713741" w14:textId="042E3B69" w:rsidR="00E02117" w:rsidRPr="003D3C31" w:rsidRDefault="00E02117" w:rsidP="003D3C31">
      <w:pPr>
        <w:pStyle w:val="Paragraphedeliste"/>
        <w:numPr>
          <w:ilvl w:val="0"/>
          <w:numId w:val="24"/>
        </w:numPr>
        <w:spacing w:line="240" w:lineRule="auto"/>
        <w:contextualSpacing/>
        <w:jc w:val="both"/>
        <w:rPr>
          <w:rFonts w:ascii="Arial" w:hAnsi="Arial" w:cs="Arial"/>
          <w:b/>
          <w:bCs/>
          <w:sz w:val="18"/>
          <w:szCs w:val="18"/>
        </w:rPr>
      </w:pPr>
      <w:r w:rsidRPr="003D3C31">
        <w:rPr>
          <w:rFonts w:ascii="Arial" w:hAnsi="Arial" w:cs="Arial"/>
          <w:b/>
          <w:bCs/>
          <w:sz w:val="18"/>
          <w:szCs w:val="18"/>
        </w:rPr>
        <w:t>Le calcul de la compensation</w:t>
      </w:r>
    </w:p>
    <w:p w14:paraId="6C33A849" w14:textId="15E31701"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Le montant de la compensation comprend tous les avantages accordés par la collectivité publique ou au moyen d’une ressource publique, sous quelque forme que ce soit (y compris la fourniture de services, de bâtiments ou d’actifs en dessous des prix de marché), que ces avantages proviennent de sources locales, régionales, nationales ou communautaires.</w:t>
      </w:r>
      <w:r w:rsidR="003B36C5" w:rsidRPr="003D3C31">
        <w:rPr>
          <w:rFonts w:ascii="Arial" w:hAnsi="Arial" w:cs="Arial"/>
          <w:sz w:val="20"/>
          <w:szCs w:val="20"/>
        </w:rPr>
        <w:t xml:space="preserve"> </w:t>
      </w:r>
      <w:r w:rsidRPr="003D3C31">
        <w:rPr>
          <w:rFonts w:ascii="Arial" w:hAnsi="Arial" w:cs="Arial"/>
          <w:sz w:val="20"/>
          <w:szCs w:val="20"/>
        </w:rPr>
        <w:t>Cela signifie qu’une subvention équivalente doit être calculée pour la fourniture de services, de bâtiments ou d’actifs en dessous des prix du marché.</w:t>
      </w:r>
    </w:p>
    <w:p w14:paraId="1D61D96F" w14:textId="77777777" w:rsidR="003B36C5" w:rsidRPr="003D3C31" w:rsidRDefault="003B36C5" w:rsidP="003D3C31">
      <w:pPr>
        <w:spacing w:line="240" w:lineRule="auto"/>
        <w:contextualSpacing/>
        <w:jc w:val="both"/>
        <w:rPr>
          <w:rFonts w:ascii="Arial" w:hAnsi="Arial" w:cs="Arial"/>
          <w:sz w:val="20"/>
          <w:szCs w:val="20"/>
        </w:rPr>
      </w:pPr>
    </w:p>
    <w:p w14:paraId="14CBE924" w14:textId="4D49C0EF"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Les paramètres de calcul des coûts doivent être définis dans le mandat. Le mandat doit donc </w:t>
      </w:r>
      <w:r w:rsidR="00C16D8E" w:rsidRPr="003D3C31">
        <w:rPr>
          <w:rFonts w:ascii="Arial" w:hAnsi="Arial" w:cs="Arial"/>
          <w:sz w:val="20"/>
          <w:szCs w:val="20"/>
        </w:rPr>
        <w:t>indiquer</w:t>
      </w:r>
      <w:r w:rsidRPr="003D3C31">
        <w:rPr>
          <w:rFonts w:ascii="Arial" w:hAnsi="Arial" w:cs="Arial"/>
          <w:sz w:val="20"/>
          <w:szCs w:val="20"/>
        </w:rPr>
        <w:t xml:space="preserve">, de manière claire, la base sur laquelle la collectivité publique financera l’entreprise </w:t>
      </w:r>
      <w:r w:rsidR="00621186" w:rsidRPr="003D3C31">
        <w:rPr>
          <w:rFonts w:ascii="Arial" w:hAnsi="Arial" w:cs="Arial"/>
          <w:sz w:val="20"/>
          <w:szCs w:val="20"/>
        </w:rPr>
        <w:t>gestionnaire de SIEG</w:t>
      </w:r>
      <w:r w:rsidRPr="003D3C31">
        <w:rPr>
          <w:rFonts w:ascii="Arial" w:hAnsi="Arial" w:cs="Arial"/>
          <w:sz w:val="20"/>
          <w:szCs w:val="20"/>
        </w:rPr>
        <w:t>, c’est-à-dire la base servant à calculer la compensation.</w:t>
      </w:r>
    </w:p>
    <w:p w14:paraId="6DBBBDDA" w14:textId="77777777" w:rsidR="00E02117" w:rsidRPr="003D3C31" w:rsidRDefault="00E02117" w:rsidP="003D3C31">
      <w:pPr>
        <w:spacing w:line="240" w:lineRule="auto"/>
        <w:contextualSpacing/>
        <w:jc w:val="both"/>
        <w:rPr>
          <w:rFonts w:ascii="Arial" w:hAnsi="Arial" w:cs="Arial"/>
          <w:sz w:val="20"/>
          <w:szCs w:val="20"/>
        </w:rPr>
      </w:pPr>
    </w:p>
    <w:p w14:paraId="70F7D58E" w14:textId="77777777" w:rsidR="00621186"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 coût net peut être calculé </w:t>
      </w:r>
      <w:r w:rsidR="00621186" w:rsidRPr="003D3C31">
        <w:rPr>
          <w:rFonts w:ascii="Arial" w:hAnsi="Arial" w:cs="Arial"/>
          <w:sz w:val="20"/>
          <w:szCs w:val="20"/>
        </w:rPr>
        <w:t>de deux manières :</w:t>
      </w:r>
    </w:p>
    <w:p w14:paraId="38978B7E" w14:textId="43F63271" w:rsidR="00621186" w:rsidRPr="003D3C31" w:rsidRDefault="00E02117" w:rsidP="003D3C31">
      <w:pPr>
        <w:pStyle w:val="Paragraphedeliste"/>
        <w:numPr>
          <w:ilvl w:val="0"/>
          <w:numId w:val="17"/>
        </w:numPr>
        <w:spacing w:line="240" w:lineRule="auto"/>
        <w:contextualSpacing/>
        <w:jc w:val="both"/>
        <w:rPr>
          <w:rFonts w:ascii="Arial" w:hAnsi="Arial" w:cs="Arial"/>
          <w:sz w:val="20"/>
          <w:szCs w:val="20"/>
        </w:rPr>
      </w:pPr>
      <w:r w:rsidRPr="003D3C31">
        <w:rPr>
          <w:rFonts w:ascii="Arial" w:hAnsi="Arial" w:cs="Arial"/>
          <w:sz w:val="20"/>
          <w:szCs w:val="20"/>
        </w:rPr>
        <w:t xml:space="preserve">sur la base de la différence entre les coûts et les recettes afférents au SIEG. </w:t>
      </w:r>
    </w:p>
    <w:p w14:paraId="0539DF15" w14:textId="56F9F1EA" w:rsidR="00E02117" w:rsidRPr="003D3C31" w:rsidRDefault="00E02117" w:rsidP="003D3C31">
      <w:pPr>
        <w:pStyle w:val="Paragraphedeliste"/>
        <w:numPr>
          <w:ilvl w:val="0"/>
          <w:numId w:val="17"/>
        </w:numPr>
        <w:spacing w:line="240" w:lineRule="auto"/>
        <w:contextualSpacing/>
        <w:jc w:val="both"/>
        <w:rPr>
          <w:rFonts w:ascii="Arial" w:hAnsi="Arial" w:cs="Arial"/>
          <w:sz w:val="20"/>
          <w:szCs w:val="20"/>
        </w:rPr>
      </w:pPr>
      <w:r w:rsidRPr="003D3C31">
        <w:rPr>
          <w:rFonts w:ascii="Arial" w:hAnsi="Arial" w:cs="Arial"/>
          <w:sz w:val="20"/>
          <w:szCs w:val="20"/>
        </w:rPr>
        <w:t>sur la base de la différence entre le coût net pour l’entreprise assurant l’obligation de service public et le coût net ou bénéfice de la même entreprise n’assurant pas l’obligation de service public.</w:t>
      </w:r>
    </w:p>
    <w:p w14:paraId="182FDFEE" w14:textId="77777777"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Les coûts à prendre en considération correspondent à tous les coûts nés de la gestion du SIEG, calculés sur la base des principes de comptabilité généralement acceptés : ils peuvent couvrir tous les coûts directs occasionnés par la fourniture du service ainsi qu’une contribution proportionnelle aux coûts fixes communs au service en cause et à d’autres activités. Les coûts liés aux investissements, notamment d’infrastructures, peuvent être pris en considération, lorsque ces investissements sont nécessaires au fonctionnement du SIEG.</w:t>
      </w:r>
    </w:p>
    <w:p w14:paraId="7FAE62E2" w14:textId="77777777" w:rsidR="00E02117" w:rsidRPr="003D3C31" w:rsidRDefault="00E02117" w:rsidP="003D3C31">
      <w:pPr>
        <w:spacing w:line="240" w:lineRule="auto"/>
        <w:contextualSpacing/>
        <w:jc w:val="both"/>
        <w:rPr>
          <w:rFonts w:ascii="Arial" w:hAnsi="Arial" w:cs="Arial"/>
          <w:sz w:val="20"/>
          <w:szCs w:val="20"/>
        </w:rPr>
      </w:pPr>
    </w:p>
    <w:p w14:paraId="6014657F" w14:textId="3AEF3550"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Lorsque l’entreprise réalise également des activités en dehors du SIEG, seuls les coûts liés au SIEG peuvent être pris en considération : dans ce cas, sa comptabilité interne indique séparément les coûts et les recettes liés à ce service et à d’autres services, ainsi que les paramètres de répartition des coûts et des recettes. </w:t>
      </w:r>
    </w:p>
    <w:p w14:paraId="09869A79" w14:textId="77777777" w:rsidR="00E02117" w:rsidRPr="003D3C31" w:rsidRDefault="00E02117" w:rsidP="003D3C31">
      <w:pPr>
        <w:spacing w:line="240" w:lineRule="auto"/>
        <w:contextualSpacing/>
        <w:jc w:val="both"/>
        <w:rPr>
          <w:rFonts w:ascii="Arial" w:hAnsi="Arial" w:cs="Arial"/>
          <w:sz w:val="20"/>
          <w:szCs w:val="20"/>
        </w:rPr>
      </w:pPr>
    </w:p>
    <w:p w14:paraId="0BE0C590" w14:textId="05DD076C"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Les recettes à prendre en considération incluent la totalité des recettes tirées du SIEG. Si l’entreprise est titulaire d’un droit exclusif ou spécial lié à des activités ne relevant pas du SIEG pour lequel l’aide est octroyée, et qui engendre</w:t>
      </w:r>
      <w:r w:rsidR="003B36C5" w:rsidRPr="003D3C31">
        <w:rPr>
          <w:rFonts w:ascii="Arial" w:hAnsi="Arial" w:cs="Arial"/>
          <w:sz w:val="20"/>
          <w:szCs w:val="20"/>
        </w:rPr>
        <w:t xml:space="preserve"> </w:t>
      </w:r>
      <w:r w:rsidRPr="003D3C31">
        <w:rPr>
          <w:rFonts w:ascii="Arial" w:hAnsi="Arial" w:cs="Arial"/>
          <w:sz w:val="20"/>
          <w:szCs w:val="20"/>
        </w:rPr>
        <w:t xml:space="preserve">un bénéfice excédant le bénéfice raisonnable, ou que cette entreprise bénéficie d’autres avantages octroyés par l’État, ceux-ci doivent être inclus dans ses recettes. En outre, l’autorité publique peut décider d’affecter, en tout ou partie au financement du SIEG, les bénéfices tirés d’autres activités. </w:t>
      </w:r>
    </w:p>
    <w:p w14:paraId="4907E23B" w14:textId="77777777" w:rsidR="00E02117" w:rsidRPr="003D3C31" w:rsidRDefault="00E02117" w:rsidP="003D3C31">
      <w:pPr>
        <w:spacing w:line="240" w:lineRule="auto"/>
        <w:contextualSpacing/>
        <w:jc w:val="both"/>
        <w:rPr>
          <w:rFonts w:ascii="Arial" w:hAnsi="Arial" w:cs="Arial"/>
          <w:sz w:val="20"/>
          <w:szCs w:val="20"/>
        </w:rPr>
      </w:pPr>
    </w:p>
    <w:p w14:paraId="2D08AFD3" w14:textId="0B72670C" w:rsidR="003D6A35"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Aux coûts nets s’ajoute, pour le calcul de la compensation, le </w:t>
      </w:r>
      <w:r w:rsidRPr="003D3C31">
        <w:rPr>
          <w:rFonts w:ascii="Arial" w:hAnsi="Arial" w:cs="Arial"/>
          <w:b/>
          <w:bCs/>
          <w:sz w:val="20"/>
          <w:szCs w:val="20"/>
        </w:rPr>
        <w:t>bénéfice raisonnable</w:t>
      </w:r>
      <w:r w:rsidRPr="003D3C31">
        <w:rPr>
          <w:rFonts w:ascii="Arial" w:hAnsi="Arial" w:cs="Arial"/>
          <w:sz w:val="20"/>
          <w:szCs w:val="20"/>
        </w:rPr>
        <w:t>. Celui-ci correspond au taux de rendement du capital qu’exigerait une entreprise moyenne s’interrogeant sur l’opportunité de fournir le SIEG pendant toute la durée du mandat, en tenant compte du niveau de risque. Le taux de rendement du capital est défini comme le taux de rendement interne que l’entreprise obtient sur son capital investi pendant la durée du mandat. Le niveau de risque dépend du secteur concerné, du type de service et des caractéristiques de la compensation. Pour déterminer ce qui constitue un bénéfice raisonnable, les États membres peuvent introduire des critères incitatifs, liés notamment à la qualité du service fourni et aux gains d’efficience productive.</w:t>
      </w:r>
    </w:p>
    <w:p w14:paraId="68F8B197" w14:textId="4409EBBB" w:rsidR="00E02117" w:rsidRPr="003D3C31" w:rsidRDefault="00E02117" w:rsidP="003D3C31">
      <w:pPr>
        <w:pStyle w:val="Paragraphedeliste"/>
        <w:numPr>
          <w:ilvl w:val="0"/>
          <w:numId w:val="24"/>
        </w:numPr>
        <w:spacing w:line="240" w:lineRule="auto"/>
        <w:contextualSpacing/>
        <w:jc w:val="both"/>
        <w:rPr>
          <w:rFonts w:ascii="Arial" w:hAnsi="Arial" w:cs="Arial"/>
          <w:b/>
          <w:bCs/>
          <w:sz w:val="18"/>
          <w:szCs w:val="18"/>
        </w:rPr>
      </w:pPr>
      <w:r w:rsidRPr="003D3C31">
        <w:rPr>
          <w:rFonts w:ascii="Arial" w:hAnsi="Arial" w:cs="Arial"/>
          <w:b/>
          <w:bCs/>
          <w:sz w:val="18"/>
          <w:szCs w:val="18"/>
        </w:rPr>
        <w:lastRenderedPageBreak/>
        <w:t>Vérification de l’absence de surcompensation du bénéficiaire</w:t>
      </w:r>
    </w:p>
    <w:p w14:paraId="27C1D184" w14:textId="77777777" w:rsidR="00E0211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L’autorité d’octroi devra contrôler qu’il n’y a pas de surcompensation des obligations de service public par rapport aux coûts effectivement supportés par le bénéficiaire du fait de ces obligations.</w:t>
      </w:r>
    </w:p>
    <w:p w14:paraId="0067DFED" w14:textId="77777777" w:rsidR="00050D15"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L’absence de surcompensation s’apprécie sur la durée totale du mandat sous réserve qu’une éventuelle surcompensation sur une année ne dépasse pas 10% de la compensation annuelle moyenne. </w:t>
      </w:r>
    </w:p>
    <w:p w14:paraId="1C470023" w14:textId="312847A7" w:rsidR="00D84607" w:rsidRPr="003D3C31" w:rsidRDefault="00E02117" w:rsidP="003D3C31">
      <w:pPr>
        <w:spacing w:line="240" w:lineRule="auto"/>
        <w:contextualSpacing/>
        <w:jc w:val="both"/>
        <w:rPr>
          <w:rFonts w:ascii="Arial" w:hAnsi="Arial" w:cs="Arial"/>
          <w:sz w:val="20"/>
          <w:szCs w:val="20"/>
        </w:rPr>
      </w:pPr>
      <w:r w:rsidRPr="003D3C31">
        <w:rPr>
          <w:rFonts w:ascii="Arial" w:hAnsi="Arial" w:cs="Arial"/>
          <w:sz w:val="20"/>
          <w:szCs w:val="20"/>
        </w:rPr>
        <w:t xml:space="preserve">Si la surcompensation dépasse les 10%, elle devra faire l’objet d’un reversement et ne pourra être reportée sur les années à venir. Cette vérification doit être effectuée </w:t>
      </w:r>
      <w:r w:rsidR="003C2B40" w:rsidRPr="003D3C31">
        <w:rPr>
          <w:rFonts w:ascii="Arial" w:hAnsi="Arial" w:cs="Arial"/>
          <w:sz w:val="20"/>
          <w:szCs w:val="20"/>
        </w:rPr>
        <w:t>a</w:t>
      </w:r>
      <w:r w:rsidRPr="003D3C31">
        <w:rPr>
          <w:rFonts w:ascii="Arial" w:hAnsi="Arial" w:cs="Arial"/>
          <w:sz w:val="20"/>
          <w:szCs w:val="20"/>
        </w:rPr>
        <w:t xml:space="preserve"> minima tous les 3 ans. L’absence de surcompensation doit être vérifiée à chaque demande de paiement ainsi qu’au solde. </w:t>
      </w:r>
    </w:p>
    <w:p w14:paraId="728A851D" w14:textId="129FA3C0" w:rsidR="0053459B" w:rsidRPr="003D3C31" w:rsidRDefault="0053459B" w:rsidP="003D3C31">
      <w:pPr>
        <w:pStyle w:val="FSE-Modedemploi"/>
        <w:numPr>
          <w:ilvl w:val="0"/>
          <w:numId w:val="21"/>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r w:rsidRPr="003D3C31">
        <w:rPr>
          <w:rFonts w:ascii="Arial" w:hAnsi="Arial" w:cs="Arial"/>
          <w:b/>
          <w:bCs/>
          <w:color w:val="E36C0A" w:themeColor="accent6" w:themeShade="BF"/>
          <w:szCs w:val="20"/>
        </w:rPr>
        <w:t xml:space="preserve">Règles découlant de l’encadrement </w:t>
      </w:r>
      <w:proofErr w:type="spellStart"/>
      <w:r w:rsidRPr="003D3C31">
        <w:rPr>
          <w:rFonts w:ascii="Arial" w:hAnsi="Arial" w:cs="Arial"/>
          <w:b/>
          <w:bCs/>
          <w:color w:val="E36C0A" w:themeColor="accent6" w:themeShade="BF"/>
          <w:szCs w:val="20"/>
        </w:rPr>
        <w:t>Almunia</w:t>
      </w:r>
      <w:proofErr w:type="spellEnd"/>
      <w:r w:rsidRPr="003D3C31">
        <w:rPr>
          <w:rFonts w:ascii="Arial" w:hAnsi="Arial" w:cs="Arial"/>
          <w:b/>
          <w:bCs/>
          <w:color w:val="E36C0A" w:themeColor="accent6" w:themeShade="BF"/>
          <w:szCs w:val="20"/>
        </w:rPr>
        <w:t xml:space="preserve"> 2012/C 8/03 du 20 décembre 2011</w:t>
      </w:r>
    </w:p>
    <w:p w14:paraId="7F079354" w14:textId="77777777" w:rsidR="0053459B" w:rsidRPr="003D3C31" w:rsidRDefault="0053459B"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ind w:left="720"/>
        <w:rPr>
          <w:rFonts w:ascii="Arial" w:hAnsi="Arial" w:cs="Arial"/>
          <w:b/>
          <w:bCs/>
          <w:color w:val="E36C0A" w:themeColor="accent6" w:themeShade="BF"/>
          <w:szCs w:val="20"/>
        </w:rPr>
      </w:pPr>
    </w:p>
    <w:p w14:paraId="47219D00" w14:textId="7151A6A2"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Les </w:t>
      </w:r>
      <w:r w:rsidR="003C2B40" w:rsidRPr="003D3C31">
        <w:rPr>
          <w:rFonts w:ascii="Arial" w:hAnsi="Arial" w:cs="Arial"/>
          <w:sz w:val="20"/>
          <w:szCs w:val="20"/>
        </w:rPr>
        <w:t>aides d’Etat</w:t>
      </w:r>
      <w:r w:rsidRPr="003D3C31">
        <w:rPr>
          <w:rFonts w:ascii="Arial" w:hAnsi="Arial" w:cs="Arial"/>
          <w:sz w:val="20"/>
          <w:szCs w:val="20"/>
        </w:rPr>
        <w:t xml:space="preserve"> accordées à des entreprises chargées d’un SIEG, qui n’entrent pas dans le champ d’application de la décision d’exemption </w:t>
      </w:r>
      <w:proofErr w:type="spellStart"/>
      <w:r w:rsidRPr="003D3C31">
        <w:rPr>
          <w:rFonts w:ascii="Arial" w:hAnsi="Arial" w:cs="Arial"/>
          <w:sz w:val="20"/>
          <w:szCs w:val="20"/>
        </w:rPr>
        <w:t>Almunia</w:t>
      </w:r>
      <w:proofErr w:type="spellEnd"/>
      <w:r w:rsidRPr="003D3C31">
        <w:rPr>
          <w:rFonts w:ascii="Arial" w:hAnsi="Arial" w:cs="Arial"/>
          <w:sz w:val="20"/>
          <w:szCs w:val="20"/>
        </w:rPr>
        <w:t>, sont soumises à l’obligation de notification préalable à la Commission.</w:t>
      </w:r>
    </w:p>
    <w:p w14:paraId="6F90DF64" w14:textId="77777777" w:rsidR="0053459B" w:rsidRPr="003D3C31" w:rsidRDefault="0053459B" w:rsidP="003D3C31">
      <w:pPr>
        <w:spacing w:line="240" w:lineRule="auto"/>
        <w:contextualSpacing/>
        <w:jc w:val="both"/>
        <w:rPr>
          <w:rFonts w:ascii="Arial" w:hAnsi="Arial" w:cs="Arial"/>
          <w:sz w:val="20"/>
          <w:szCs w:val="20"/>
        </w:rPr>
      </w:pPr>
    </w:p>
    <w:p w14:paraId="23D6E9BA"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Les conditions de la compatibilité de ces financements sont, en partie, communes aux conditions de compatibilité des compensations entrant dans le champ d’application de la décision </w:t>
      </w:r>
      <w:proofErr w:type="spellStart"/>
      <w:r w:rsidRPr="003D3C31">
        <w:rPr>
          <w:rFonts w:ascii="Arial" w:hAnsi="Arial" w:cs="Arial"/>
          <w:sz w:val="20"/>
          <w:szCs w:val="20"/>
        </w:rPr>
        <w:t>Almunia</w:t>
      </w:r>
      <w:proofErr w:type="spellEnd"/>
      <w:r w:rsidRPr="003D3C31">
        <w:rPr>
          <w:rFonts w:ascii="Arial" w:hAnsi="Arial" w:cs="Arial"/>
          <w:sz w:val="20"/>
          <w:szCs w:val="20"/>
        </w:rPr>
        <w:t>. Un mandat doit confier expressément la mission de SIEG et préciser, notamment, la nature et la durée des obligations de service public, la description du mécanisme de compensation ainsi que les paramètres de calcul, de contrôle et de révision de la compensation.</w:t>
      </w:r>
    </w:p>
    <w:p w14:paraId="06D15BB7" w14:textId="77777777" w:rsidR="0053459B" w:rsidRPr="003D3C31" w:rsidRDefault="0053459B" w:rsidP="003D3C31">
      <w:pPr>
        <w:spacing w:line="240" w:lineRule="auto"/>
        <w:contextualSpacing/>
        <w:jc w:val="both"/>
        <w:rPr>
          <w:rFonts w:ascii="Arial" w:hAnsi="Arial" w:cs="Arial"/>
          <w:sz w:val="20"/>
          <w:szCs w:val="20"/>
        </w:rPr>
      </w:pPr>
    </w:p>
    <w:p w14:paraId="28B83879"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En outre, le financement ne doit pas surcompenser les coûts nets occasionnés par la mission de SIEG confiée.</w:t>
      </w:r>
    </w:p>
    <w:p w14:paraId="3E5B4E40" w14:textId="77777777" w:rsidR="0053459B" w:rsidRPr="003D3C31" w:rsidRDefault="0053459B" w:rsidP="003D3C31">
      <w:pPr>
        <w:spacing w:line="240" w:lineRule="auto"/>
        <w:contextualSpacing/>
        <w:jc w:val="both"/>
        <w:rPr>
          <w:rFonts w:ascii="Arial" w:hAnsi="Arial" w:cs="Arial"/>
          <w:sz w:val="20"/>
          <w:szCs w:val="20"/>
        </w:rPr>
      </w:pPr>
    </w:p>
    <w:p w14:paraId="4FD5D45A"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La Commission européenne appréciera les critères suivants, conformément à l’encadrement :</w:t>
      </w:r>
    </w:p>
    <w:p w14:paraId="59405823" w14:textId="6472944D"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r w:rsidRPr="003D3C31">
        <w:rPr>
          <w:rFonts w:ascii="Arial" w:hAnsi="Arial" w:cs="Arial"/>
          <w:sz w:val="20"/>
          <w:szCs w:val="20"/>
        </w:rPr>
        <w:t>la mise en place d’une procédure de consultation publique ou de toute autre procédure afin de tenir compte des intérêts des utilisateurs et des opérateurs ;</w:t>
      </w:r>
    </w:p>
    <w:p w14:paraId="14820F95" w14:textId="1AB04D21"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r w:rsidRPr="003D3C31">
        <w:rPr>
          <w:rFonts w:ascii="Arial" w:hAnsi="Arial" w:cs="Arial"/>
          <w:sz w:val="20"/>
          <w:szCs w:val="20"/>
        </w:rPr>
        <w:t>la durée du mandat objectivement justifiée ;</w:t>
      </w:r>
    </w:p>
    <w:p w14:paraId="5C9C8AF0" w14:textId="788BA7D4"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r w:rsidRPr="003D3C31">
        <w:rPr>
          <w:rFonts w:ascii="Arial" w:hAnsi="Arial" w:cs="Arial"/>
          <w:sz w:val="20"/>
          <w:szCs w:val="20"/>
        </w:rPr>
        <w:t>le respect de la directive 2006/111/CE relative à la transparence des relations financières entre les Etats membres et les entreprises publiques ainsi qu’à la transparence financière dans certaines entreprises ;</w:t>
      </w:r>
    </w:p>
    <w:p w14:paraId="7C8B01C9" w14:textId="759C87B6"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r w:rsidRPr="003D3C31">
        <w:rPr>
          <w:rFonts w:ascii="Arial" w:hAnsi="Arial" w:cs="Arial"/>
          <w:sz w:val="20"/>
          <w:szCs w:val="20"/>
        </w:rPr>
        <w:t>la mise en place d’un mécanisme de compensation précisant les modalités d’incitation à l’efficience du bénéficiaire auquel a été confié le SIEG ;</w:t>
      </w:r>
    </w:p>
    <w:p w14:paraId="7BD06BBC" w14:textId="14422205"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r w:rsidRPr="003D3C31">
        <w:rPr>
          <w:rFonts w:ascii="Arial" w:hAnsi="Arial" w:cs="Arial"/>
          <w:sz w:val="20"/>
          <w:szCs w:val="20"/>
        </w:rPr>
        <w:t xml:space="preserve">l’utilisation de la méthode des coûts nets évités en référence à une entreprise n’ayant pas d’obligations de services publics ; lorsqu’il peut être démontré que l’utilisation de cette méthode est </w:t>
      </w:r>
      <w:r w:rsidR="003D6A35" w:rsidRPr="003D3C31">
        <w:rPr>
          <w:rFonts w:ascii="Arial" w:hAnsi="Arial" w:cs="Arial"/>
          <w:sz w:val="20"/>
          <w:szCs w:val="20"/>
        </w:rPr>
        <w:t>impossible ou inappropriée</w:t>
      </w:r>
      <w:r w:rsidRPr="003D3C31">
        <w:rPr>
          <w:rFonts w:ascii="Arial" w:hAnsi="Arial" w:cs="Arial"/>
          <w:sz w:val="20"/>
          <w:szCs w:val="20"/>
        </w:rPr>
        <w:t>, la Commission accepte l’emploi d’autres méthodes telle que la méthode fondée sur la répartition des coûts ;</w:t>
      </w:r>
    </w:p>
    <w:p w14:paraId="05C204E9" w14:textId="481FC86C"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r w:rsidRPr="003D3C31">
        <w:rPr>
          <w:rFonts w:ascii="Arial" w:hAnsi="Arial" w:cs="Arial"/>
          <w:sz w:val="20"/>
          <w:szCs w:val="20"/>
        </w:rPr>
        <w:t>le contrôle de l’absence de surcompensation tous les 3 ans au moins et à la fin du mandat (sans report possible de la compensation d’une année sur l’autre), et tous les 2 ans si la compensation a été octroyée en dehors du cadre ;</w:t>
      </w:r>
    </w:p>
    <w:p w14:paraId="7F430AA0" w14:textId="0658B054"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r w:rsidRPr="003D3C31">
        <w:rPr>
          <w:rFonts w:ascii="Arial" w:hAnsi="Arial" w:cs="Arial"/>
          <w:sz w:val="20"/>
          <w:szCs w:val="20"/>
        </w:rPr>
        <w:t>la Commission européenne pourra, dans le cadre des échanges avec les autorités françaises, demander la mise en place d’exigences supplémentaires en cas de risque important de distorsion de la concurrence ;</w:t>
      </w:r>
    </w:p>
    <w:p w14:paraId="49FB8DDE" w14:textId="137138DF"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r w:rsidRPr="003D3C31">
        <w:rPr>
          <w:rFonts w:ascii="Arial" w:hAnsi="Arial" w:cs="Arial"/>
          <w:sz w:val="20"/>
          <w:szCs w:val="20"/>
        </w:rPr>
        <w:t>l’absence de discrimination lorsqu’un même SIEG a été confié à plusieurs entreprises : la compensation doit être calculée selon la même méthode pour chaque entreprise ;</w:t>
      </w:r>
    </w:p>
    <w:p w14:paraId="527E4D4C" w14:textId="799F78E2" w:rsidR="0053459B" w:rsidRPr="003D3C31" w:rsidRDefault="0053459B" w:rsidP="003D3C31">
      <w:pPr>
        <w:pStyle w:val="Paragraphedeliste"/>
        <w:numPr>
          <w:ilvl w:val="0"/>
          <w:numId w:val="30"/>
        </w:numPr>
        <w:spacing w:line="240" w:lineRule="auto"/>
        <w:contextualSpacing/>
        <w:jc w:val="both"/>
        <w:rPr>
          <w:rFonts w:ascii="Arial" w:hAnsi="Arial" w:cs="Arial"/>
          <w:sz w:val="20"/>
          <w:szCs w:val="20"/>
        </w:rPr>
      </w:pPr>
      <w:r w:rsidRPr="003D3C31">
        <w:rPr>
          <w:rFonts w:ascii="Arial" w:hAnsi="Arial" w:cs="Arial"/>
          <w:sz w:val="20"/>
          <w:szCs w:val="20"/>
        </w:rPr>
        <w:t>le respect des règles relatives aux marchés publics ;</w:t>
      </w:r>
    </w:p>
    <w:p w14:paraId="526839AB" w14:textId="75ED66F1" w:rsidR="0053459B" w:rsidRPr="003D3C31" w:rsidRDefault="0053459B" w:rsidP="003D3C31">
      <w:pPr>
        <w:pStyle w:val="Paragraphedeliste"/>
        <w:numPr>
          <w:ilvl w:val="0"/>
          <w:numId w:val="30"/>
        </w:numPr>
        <w:spacing w:after="0" w:line="240" w:lineRule="auto"/>
        <w:contextualSpacing/>
        <w:jc w:val="both"/>
        <w:rPr>
          <w:rFonts w:ascii="Arial" w:hAnsi="Arial" w:cs="Arial"/>
          <w:sz w:val="20"/>
          <w:szCs w:val="20"/>
        </w:rPr>
      </w:pPr>
      <w:r w:rsidRPr="003D3C31">
        <w:rPr>
          <w:rFonts w:ascii="Arial" w:hAnsi="Arial" w:cs="Arial"/>
          <w:sz w:val="20"/>
          <w:szCs w:val="20"/>
        </w:rPr>
        <w:t>des obligations de transparence et d’informations de la Commission sont par ailleurs imposées, l’autorité publique devant publier les informations suivantes sur internet ou par un autre moyen approprié :</w:t>
      </w:r>
    </w:p>
    <w:p w14:paraId="037945E4" w14:textId="2F931AAC" w:rsidR="0053459B" w:rsidRPr="003D3C31" w:rsidRDefault="0053459B" w:rsidP="003D3C31">
      <w:pPr>
        <w:pStyle w:val="Paragraphedeliste"/>
        <w:numPr>
          <w:ilvl w:val="1"/>
          <w:numId w:val="28"/>
        </w:numPr>
        <w:spacing w:after="0" w:line="240" w:lineRule="auto"/>
        <w:contextualSpacing/>
        <w:jc w:val="both"/>
        <w:rPr>
          <w:rFonts w:ascii="Arial" w:hAnsi="Arial" w:cs="Arial"/>
          <w:sz w:val="20"/>
          <w:szCs w:val="20"/>
        </w:rPr>
      </w:pPr>
      <w:r w:rsidRPr="003D3C31">
        <w:rPr>
          <w:rFonts w:ascii="Arial" w:hAnsi="Arial" w:cs="Arial"/>
          <w:sz w:val="20"/>
          <w:szCs w:val="20"/>
        </w:rPr>
        <w:t>Les résultats de la consultation publique ;</w:t>
      </w:r>
    </w:p>
    <w:p w14:paraId="5E7AFD77" w14:textId="3972FA59" w:rsidR="0053459B" w:rsidRPr="003D3C31" w:rsidRDefault="0053459B" w:rsidP="003D3C31">
      <w:pPr>
        <w:pStyle w:val="Paragraphedeliste"/>
        <w:numPr>
          <w:ilvl w:val="1"/>
          <w:numId w:val="28"/>
        </w:numPr>
        <w:spacing w:line="240" w:lineRule="auto"/>
        <w:contextualSpacing/>
        <w:jc w:val="both"/>
        <w:rPr>
          <w:rFonts w:ascii="Arial" w:hAnsi="Arial" w:cs="Arial"/>
          <w:sz w:val="20"/>
          <w:szCs w:val="20"/>
        </w:rPr>
      </w:pPr>
      <w:r w:rsidRPr="003D3C31">
        <w:rPr>
          <w:rFonts w:ascii="Arial" w:hAnsi="Arial" w:cs="Arial"/>
          <w:sz w:val="20"/>
          <w:szCs w:val="20"/>
        </w:rPr>
        <w:t>La nature et la durée des OSP ;</w:t>
      </w:r>
    </w:p>
    <w:p w14:paraId="2F5A9C91" w14:textId="0AFAF536" w:rsidR="0053459B" w:rsidRPr="003D3C31" w:rsidRDefault="0053459B" w:rsidP="003D3C31">
      <w:pPr>
        <w:pStyle w:val="Paragraphedeliste"/>
        <w:numPr>
          <w:ilvl w:val="1"/>
          <w:numId w:val="28"/>
        </w:numPr>
        <w:spacing w:line="240" w:lineRule="auto"/>
        <w:contextualSpacing/>
        <w:jc w:val="both"/>
        <w:rPr>
          <w:rFonts w:ascii="Arial" w:hAnsi="Arial" w:cs="Arial"/>
          <w:sz w:val="20"/>
          <w:szCs w:val="20"/>
        </w:rPr>
      </w:pPr>
      <w:r w:rsidRPr="003D3C31">
        <w:rPr>
          <w:rFonts w:ascii="Arial" w:hAnsi="Arial" w:cs="Arial"/>
          <w:sz w:val="20"/>
          <w:szCs w:val="20"/>
        </w:rPr>
        <w:t>L’entreprise et le territoire concerné ;</w:t>
      </w:r>
    </w:p>
    <w:p w14:paraId="4B9F55CB" w14:textId="589DDA07" w:rsidR="0053459B" w:rsidRPr="003D3C31" w:rsidRDefault="0053459B" w:rsidP="003D3C31">
      <w:pPr>
        <w:pStyle w:val="Paragraphedeliste"/>
        <w:numPr>
          <w:ilvl w:val="1"/>
          <w:numId w:val="28"/>
        </w:numPr>
        <w:spacing w:line="240" w:lineRule="auto"/>
        <w:contextualSpacing/>
        <w:jc w:val="both"/>
        <w:rPr>
          <w:rFonts w:ascii="Arial" w:hAnsi="Arial" w:cs="Arial"/>
          <w:sz w:val="20"/>
          <w:szCs w:val="20"/>
        </w:rPr>
      </w:pPr>
      <w:r w:rsidRPr="003D3C31">
        <w:rPr>
          <w:rFonts w:ascii="Arial" w:hAnsi="Arial" w:cs="Arial"/>
          <w:sz w:val="20"/>
          <w:szCs w:val="20"/>
        </w:rPr>
        <w:t>Les montants annuels correspondant à l’aide octroyée à l’entreprise</w:t>
      </w:r>
    </w:p>
    <w:p w14:paraId="6E277138" w14:textId="77777777" w:rsidR="00696845" w:rsidRPr="003D3C31" w:rsidRDefault="00696845" w:rsidP="003D3C31">
      <w:pPr>
        <w:pStyle w:val="Paragraphedeliste"/>
        <w:spacing w:line="240" w:lineRule="auto"/>
        <w:ind w:left="2149"/>
        <w:contextualSpacing/>
        <w:jc w:val="both"/>
        <w:rPr>
          <w:rFonts w:ascii="Arial" w:hAnsi="Arial" w:cs="Arial"/>
          <w:sz w:val="20"/>
          <w:szCs w:val="20"/>
        </w:rPr>
      </w:pPr>
    </w:p>
    <w:p w14:paraId="428CC4F1" w14:textId="77777777" w:rsidR="00DB45C1" w:rsidRPr="003D3C31" w:rsidRDefault="00DB45C1" w:rsidP="003D3C31">
      <w:pPr>
        <w:pStyle w:val="Paragraphedeliste"/>
        <w:spacing w:line="240" w:lineRule="auto"/>
        <w:ind w:left="2149"/>
        <w:contextualSpacing/>
        <w:jc w:val="both"/>
        <w:rPr>
          <w:rFonts w:ascii="Arial" w:hAnsi="Arial" w:cs="Arial"/>
          <w:sz w:val="18"/>
          <w:szCs w:val="18"/>
        </w:rPr>
      </w:pPr>
    </w:p>
    <w:p w14:paraId="3AAB2264" w14:textId="77777777" w:rsidR="0053459B" w:rsidRPr="003D3C31" w:rsidRDefault="0053459B" w:rsidP="003D3C31">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3D3C31">
        <w:rPr>
          <w:rFonts w:ascii="Arial" w:hAnsi="Arial" w:cs="Arial"/>
          <w:b/>
          <w:bCs/>
          <w:color w:val="C00000"/>
          <w:sz w:val="24"/>
          <w:szCs w:val="24"/>
        </w:rPr>
        <w:t>IV.</w:t>
      </w:r>
      <w:r w:rsidRPr="003D3C31">
        <w:rPr>
          <w:rFonts w:ascii="Arial" w:hAnsi="Arial" w:cs="Arial"/>
          <w:b/>
          <w:bCs/>
          <w:color w:val="C00000"/>
          <w:sz w:val="24"/>
          <w:szCs w:val="24"/>
        </w:rPr>
        <w:tab/>
        <w:t>De Minimis-SIEG (25 avril 2012)</w:t>
      </w:r>
    </w:p>
    <w:p w14:paraId="749094A2" w14:textId="0AB0C567" w:rsidR="00696845"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 </w:t>
      </w:r>
      <w:r w:rsidR="00125F4F" w:rsidRPr="003D3C31">
        <w:rPr>
          <w:rFonts w:ascii="Arial" w:hAnsi="Arial" w:cs="Arial"/>
          <w:sz w:val="20"/>
          <w:szCs w:val="20"/>
        </w:rPr>
        <w:t>r</w:t>
      </w:r>
      <w:r w:rsidRPr="003D3C31">
        <w:rPr>
          <w:rFonts w:ascii="Arial" w:hAnsi="Arial" w:cs="Arial"/>
          <w:sz w:val="20"/>
          <w:szCs w:val="20"/>
        </w:rPr>
        <w:t xml:space="preserve">èglement </w:t>
      </w:r>
      <w:r w:rsidR="00125F4F" w:rsidRPr="003D3C31">
        <w:rPr>
          <w:rFonts w:ascii="Arial" w:hAnsi="Arial" w:cs="Arial"/>
          <w:sz w:val="20"/>
          <w:szCs w:val="20"/>
        </w:rPr>
        <w:t>n°</w:t>
      </w:r>
      <w:r w:rsidRPr="003D3C31">
        <w:rPr>
          <w:rFonts w:ascii="Arial" w:hAnsi="Arial" w:cs="Arial"/>
          <w:sz w:val="20"/>
          <w:szCs w:val="20"/>
        </w:rPr>
        <w:t>360/2012</w:t>
      </w:r>
      <w:r w:rsidR="00125F4F" w:rsidRPr="003D3C31">
        <w:rPr>
          <w:rFonts w:ascii="Arial" w:hAnsi="Arial" w:cs="Arial"/>
          <w:sz w:val="20"/>
          <w:szCs w:val="20"/>
        </w:rPr>
        <w:t xml:space="preserve"> modifié par le règlement n°2020/1474 de la Commission du 13 octobre 2020</w:t>
      </w:r>
      <w:r w:rsidRPr="003D3C31">
        <w:rPr>
          <w:rFonts w:ascii="Arial" w:hAnsi="Arial" w:cs="Arial"/>
          <w:sz w:val="20"/>
          <w:szCs w:val="20"/>
        </w:rPr>
        <w:t>, prévoit que certains financements publics octroyés aux entreprises pour la prestation de SIEG ne constituent pas des aides d’Etat, car n’affectent pas les échanges entre les Etats membres et ne faussent pas ou ne menacent pas de fausser la concurrence si les conditions du règlement sont respectées.</w:t>
      </w:r>
    </w:p>
    <w:p w14:paraId="5B0D9032" w14:textId="77777777" w:rsidR="00A54647" w:rsidRPr="003D3C31" w:rsidRDefault="0053459B" w:rsidP="003D3C31">
      <w:pPr>
        <w:pStyle w:val="FSE-Modedemploi"/>
        <w:numPr>
          <w:ilvl w:val="0"/>
          <w:numId w:val="22"/>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r w:rsidRPr="003D3C31">
        <w:rPr>
          <w:rFonts w:ascii="Arial" w:hAnsi="Arial" w:cs="Arial"/>
          <w:b/>
          <w:bCs/>
          <w:color w:val="E36C0A" w:themeColor="accent6" w:themeShade="BF"/>
          <w:szCs w:val="20"/>
        </w:rPr>
        <w:t>Champs d’application</w:t>
      </w:r>
    </w:p>
    <w:p w14:paraId="367EB766" w14:textId="77777777" w:rsidR="00A54647" w:rsidRPr="003D3C31" w:rsidRDefault="00A54647" w:rsidP="003D3C31">
      <w:pPr>
        <w:pStyle w:val="FSE-Modedemploi"/>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p>
    <w:p w14:paraId="1D260C7F"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Le règlement s’applique aux financements octroyés aux entreprises chargées d’un SIEG, à l’exception :</w:t>
      </w:r>
    </w:p>
    <w:p w14:paraId="57BA331C" w14:textId="3AC22E56"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r w:rsidRPr="003D3C31">
        <w:rPr>
          <w:rFonts w:ascii="Arial" w:hAnsi="Arial" w:cs="Arial"/>
          <w:sz w:val="20"/>
          <w:szCs w:val="20"/>
        </w:rPr>
        <w:t xml:space="preserve">des aides octroyées aux entreprises actives dans les secteurs de la pêche et de l’aquaculture ; </w:t>
      </w:r>
    </w:p>
    <w:p w14:paraId="1D47A43F" w14:textId="46787361"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r w:rsidRPr="003D3C31">
        <w:rPr>
          <w:rFonts w:ascii="Arial" w:hAnsi="Arial" w:cs="Arial"/>
          <w:sz w:val="20"/>
          <w:szCs w:val="20"/>
        </w:rPr>
        <w:t>des aides octroyées aux entreprises actives dans la production primaire de produits agricoles ;</w:t>
      </w:r>
    </w:p>
    <w:p w14:paraId="6074CE04" w14:textId="15EF3DC9"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r w:rsidRPr="003D3C31">
        <w:rPr>
          <w:rFonts w:ascii="Arial" w:hAnsi="Arial" w:cs="Arial"/>
          <w:sz w:val="20"/>
          <w:szCs w:val="20"/>
        </w:rPr>
        <w:t>des aides octroyées aux entreprises actives dans la transformation et la commercialisation de produits agricoles dans certains cas ;</w:t>
      </w:r>
    </w:p>
    <w:p w14:paraId="7C105414" w14:textId="162210ED"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r w:rsidRPr="003D3C31">
        <w:rPr>
          <w:rFonts w:ascii="Arial" w:hAnsi="Arial" w:cs="Arial"/>
          <w:sz w:val="20"/>
          <w:szCs w:val="20"/>
        </w:rPr>
        <w:lastRenderedPageBreak/>
        <w:t>des aides en faveur d’activités liées à l’exportation vers des pays tiers ou des États membres ;</w:t>
      </w:r>
    </w:p>
    <w:p w14:paraId="1976814C" w14:textId="33F023D3"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r w:rsidRPr="003D3C31">
        <w:rPr>
          <w:rFonts w:ascii="Arial" w:hAnsi="Arial" w:cs="Arial"/>
          <w:sz w:val="20"/>
          <w:szCs w:val="20"/>
        </w:rPr>
        <w:t>des aides subordonnées à l’utilisation de produits nationaux de préférence aux produits importés ;</w:t>
      </w:r>
    </w:p>
    <w:p w14:paraId="724B082A" w14:textId="1E9B1352"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r w:rsidRPr="003D3C31">
        <w:rPr>
          <w:rFonts w:ascii="Arial" w:hAnsi="Arial" w:cs="Arial"/>
          <w:sz w:val="20"/>
          <w:szCs w:val="20"/>
        </w:rPr>
        <w:t>des aides octroyées aux entreprises actives dans le secteur houiller ;</w:t>
      </w:r>
    </w:p>
    <w:p w14:paraId="43851F01" w14:textId="3E40F712" w:rsidR="0053459B" w:rsidRPr="003D3C31" w:rsidRDefault="0053459B" w:rsidP="003D3C31">
      <w:pPr>
        <w:pStyle w:val="Paragraphedeliste"/>
        <w:numPr>
          <w:ilvl w:val="0"/>
          <w:numId w:val="32"/>
        </w:numPr>
        <w:spacing w:line="240" w:lineRule="auto"/>
        <w:contextualSpacing/>
        <w:jc w:val="both"/>
        <w:rPr>
          <w:rFonts w:ascii="Arial" w:hAnsi="Arial" w:cs="Arial"/>
          <w:sz w:val="20"/>
          <w:szCs w:val="20"/>
        </w:rPr>
      </w:pPr>
      <w:r w:rsidRPr="003D3C31">
        <w:rPr>
          <w:rFonts w:ascii="Arial" w:hAnsi="Arial" w:cs="Arial"/>
          <w:sz w:val="20"/>
          <w:szCs w:val="20"/>
        </w:rPr>
        <w:t>des aides octroyées aux entreprises réalisant du transport de marchandises par route pour compte d’autrui ;</w:t>
      </w:r>
    </w:p>
    <w:p w14:paraId="188B9997" w14:textId="4FA573D2" w:rsidR="00A54647" w:rsidRPr="003D3C31" w:rsidRDefault="0053459B" w:rsidP="003D3C31">
      <w:pPr>
        <w:pStyle w:val="Paragraphedeliste"/>
        <w:numPr>
          <w:ilvl w:val="0"/>
          <w:numId w:val="32"/>
        </w:numPr>
        <w:spacing w:line="240" w:lineRule="auto"/>
        <w:contextualSpacing/>
        <w:jc w:val="both"/>
        <w:rPr>
          <w:rFonts w:ascii="Arial" w:hAnsi="Arial" w:cs="Arial"/>
          <w:b/>
          <w:bCs/>
          <w:color w:val="E36C0A" w:themeColor="accent6" w:themeShade="BF"/>
        </w:rPr>
      </w:pPr>
      <w:r w:rsidRPr="003D3C31">
        <w:rPr>
          <w:rFonts w:ascii="Arial" w:hAnsi="Arial" w:cs="Arial"/>
          <w:sz w:val="20"/>
          <w:szCs w:val="20"/>
        </w:rPr>
        <w:t>des aides accordées à des entreprises en difficulté.</w:t>
      </w:r>
    </w:p>
    <w:p w14:paraId="6DE34930" w14:textId="247F5105" w:rsidR="00A54647" w:rsidRPr="003D3C31" w:rsidRDefault="000E7F07" w:rsidP="003D3C31">
      <w:pPr>
        <w:pStyle w:val="FSE-Modedemploi"/>
        <w:numPr>
          <w:ilvl w:val="0"/>
          <w:numId w:val="22"/>
        </w:numPr>
        <w:pBdr>
          <w:top w:val="none" w:sz="0" w:space="0" w:color="auto"/>
          <w:left w:val="none" w:sz="0" w:space="0" w:color="auto"/>
          <w:bottom w:val="none" w:sz="0" w:space="0" w:color="auto"/>
          <w:right w:val="none" w:sz="0" w:space="0" w:color="auto"/>
        </w:pBdr>
        <w:shd w:val="clear" w:color="auto" w:fill="auto"/>
        <w:spacing w:before="0" w:after="0" w:line="240" w:lineRule="auto"/>
        <w:rPr>
          <w:rFonts w:ascii="Arial" w:hAnsi="Arial" w:cs="Arial"/>
          <w:b/>
          <w:bCs/>
          <w:color w:val="E36C0A" w:themeColor="accent6" w:themeShade="BF"/>
          <w:szCs w:val="20"/>
        </w:rPr>
      </w:pPr>
      <w:r w:rsidRPr="003D3C31">
        <w:rPr>
          <w:rFonts w:ascii="Arial" w:hAnsi="Arial" w:cs="Arial"/>
          <w:b/>
          <w:bCs/>
          <w:color w:val="E36C0A" w:themeColor="accent6" w:themeShade="BF"/>
          <w:szCs w:val="20"/>
        </w:rPr>
        <w:t xml:space="preserve">Les </w:t>
      </w:r>
      <w:r w:rsidR="00A54647" w:rsidRPr="003D3C31">
        <w:rPr>
          <w:rFonts w:ascii="Arial" w:hAnsi="Arial" w:cs="Arial"/>
          <w:b/>
          <w:bCs/>
          <w:color w:val="E36C0A" w:themeColor="accent6" w:themeShade="BF"/>
          <w:szCs w:val="20"/>
        </w:rPr>
        <w:t>conditions relatives au montant et à la nature de l’aide</w:t>
      </w:r>
    </w:p>
    <w:p w14:paraId="024360C0" w14:textId="77777777" w:rsidR="00A54647" w:rsidRPr="003D3C31" w:rsidRDefault="00A54647" w:rsidP="003D3C31">
      <w:pPr>
        <w:spacing w:line="240" w:lineRule="auto"/>
        <w:contextualSpacing/>
        <w:jc w:val="both"/>
        <w:rPr>
          <w:rFonts w:ascii="Arial" w:hAnsi="Arial" w:cs="Arial"/>
          <w:sz w:val="18"/>
          <w:szCs w:val="18"/>
        </w:rPr>
      </w:pPr>
    </w:p>
    <w:p w14:paraId="79DF9687" w14:textId="24553E4B"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Sont considérées comme de minimis, les compensations de SIEG d’un montant total inférieur à 500 000€ accordées à une même entreprise sur une période de trois exercices fiscaux. </w:t>
      </w:r>
      <w:r w:rsidR="003F7261" w:rsidRPr="003D3C31">
        <w:rPr>
          <w:rFonts w:ascii="Arial" w:hAnsi="Arial" w:cs="Arial"/>
          <w:sz w:val="20"/>
          <w:szCs w:val="20"/>
        </w:rPr>
        <w:t>E</w:t>
      </w:r>
      <w:r w:rsidR="00CC30E7" w:rsidRPr="003D3C31">
        <w:rPr>
          <w:rFonts w:ascii="Arial" w:hAnsi="Arial" w:cs="Arial"/>
          <w:sz w:val="20"/>
          <w:szCs w:val="20"/>
        </w:rPr>
        <w:t>lles sont</w:t>
      </w:r>
      <w:r w:rsidRPr="003D3C31">
        <w:rPr>
          <w:rFonts w:ascii="Arial" w:hAnsi="Arial" w:cs="Arial"/>
          <w:sz w:val="20"/>
          <w:szCs w:val="20"/>
        </w:rPr>
        <w:t xml:space="preserve"> exprimé</w:t>
      </w:r>
      <w:r w:rsidR="00CC30E7" w:rsidRPr="003D3C31">
        <w:rPr>
          <w:rFonts w:ascii="Arial" w:hAnsi="Arial" w:cs="Arial"/>
          <w:sz w:val="20"/>
          <w:szCs w:val="20"/>
        </w:rPr>
        <w:t>es</w:t>
      </w:r>
      <w:r w:rsidRPr="003D3C31">
        <w:rPr>
          <w:rFonts w:ascii="Arial" w:hAnsi="Arial" w:cs="Arial"/>
          <w:sz w:val="20"/>
          <w:szCs w:val="20"/>
        </w:rPr>
        <w:t xml:space="preserve"> sous la forme d’une subvention. Lorsqu’une aide est accordée sous une forme autre qu’une subvention, le montant de l’aide est son équivalent-subvention brut</w:t>
      </w:r>
      <w:r w:rsidR="003F7261" w:rsidRPr="003D3C31">
        <w:rPr>
          <w:rFonts w:ascii="Arial" w:hAnsi="Arial" w:cs="Arial"/>
          <w:sz w:val="20"/>
          <w:szCs w:val="20"/>
        </w:rPr>
        <w:t xml:space="preserve"> (ESB)</w:t>
      </w:r>
      <w:r w:rsidRPr="003D3C31">
        <w:rPr>
          <w:rFonts w:ascii="Arial" w:hAnsi="Arial" w:cs="Arial"/>
          <w:sz w:val="20"/>
          <w:szCs w:val="20"/>
        </w:rPr>
        <w:t>.</w:t>
      </w:r>
    </w:p>
    <w:p w14:paraId="119EA169" w14:textId="6B750698" w:rsidR="0053459B" w:rsidRPr="003D3C31" w:rsidRDefault="00A54647" w:rsidP="003D3C31">
      <w:pPr>
        <w:pStyle w:val="Paragraphedeliste"/>
        <w:numPr>
          <w:ilvl w:val="0"/>
          <w:numId w:val="22"/>
        </w:numPr>
        <w:spacing w:line="240" w:lineRule="auto"/>
        <w:contextualSpacing/>
        <w:jc w:val="both"/>
        <w:rPr>
          <w:rFonts w:ascii="Arial" w:hAnsi="Arial" w:cs="Arial"/>
          <w:b/>
          <w:bCs/>
          <w:color w:val="E36C0A" w:themeColor="accent6" w:themeShade="BF"/>
          <w:sz w:val="20"/>
          <w:szCs w:val="20"/>
        </w:rPr>
      </w:pPr>
      <w:r w:rsidRPr="003D3C31">
        <w:rPr>
          <w:rFonts w:ascii="Arial" w:hAnsi="Arial" w:cs="Arial"/>
          <w:b/>
          <w:bCs/>
          <w:color w:val="E36C0A" w:themeColor="accent6" w:themeShade="BF"/>
          <w:sz w:val="20"/>
          <w:szCs w:val="20"/>
        </w:rPr>
        <w:t>L</w:t>
      </w:r>
      <w:r w:rsidR="0053459B" w:rsidRPr="003D3C31">
        <w:rPr>
          <w:rFonts w:ascii="Arial" w:hAnsi="Arial" w:cs="Arial"/>
          <w:b/>
          <w:bCs/>
          <w:color w:val="E36C0A" w:themeColor="accent6" w:themeShade="BF"/>
          <w:sz w:val="20"/>
          <w:szCs w:val="20"/>
        </w:rPr>
        <w:t>es règles de cumul</w:t>
      </w:r>
    </w:p>
    <w:p w14:paraId="0DA304C0" w14:textId="2E09CB9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Les aides de minimis SIEG ne peuvent pas être cumulées avec des </w:t>
      </w:r>
      <w:r w:rsidR="003C2B40" w:rsidRPr="003D3C31">
        <w:rPr>
          <w:rFonts w:ascii="Arial" w:hAnsi="Arial" w:cs="Arial"/>
          <w:sz w:val="20"/>
          <w:szCs w:val="20"/>
        </w:rPr>
        <w:t>aides d’Etat</w:t>
      </w:r>
      <w:r w:rsidRPr="003D3C31">
        <w:rPr>
          <w:rFonts w:ascii="Arial" w:hAnsi="Arial" w:cs="Arial"/>
          <w:sz w:val="20"/>
          <w:szCs w:val="20"/>
        </w:rPr>
        <w:t xml:space="preserve"> pour les mêmes dépenses admissibles, si ce cumul conduit à une intensité d’aide dépassant le </w:t>
      </w:r>
      <w:r w:rsidR="00CC30E7" w:rsidRPr="003D3C31">
        <w:rPr>
          <w:rFonts w:ascii="Arial" w:hAnsi="Arial" w:cs="Arial"/>
          <w:sz w:val="20"/>
          <w:szCs w:val="20"/>
        </w:rPr>
        <w:t xml:space="preserve">montant </w:t>
      </w:r>
      <w:r w:rsidRPr="003D3C31">
        <w:rPr>
          <w:rFonts w:ascii="Arial" w:hAnsi="Arial" w:cs="Arial"/>
          <w:sz w:val="20"/>
          <w:szCs w:val="20"/>
        </w:rPr>
        <w:t xml:space="preserve">précisé, dans les circonstances spécifiques de chaque cas, par un règlement d’exemption ou </w:t>
      </w:r>
      <w:r w:rsidR="003F7261" w:rsidRPr="003D3C31">
        <w:rPr>
          <w:rFonts w:ascii="Arial" w:hAnsi="Arial" w:cs="Arial"/>
          <w:sz w:val="20"/>
          <w:szCs w:val="20"/>
        </w:rPr>
        <w:t>une décision adoptée</w:t>
      </w:r>
      <w:r w:rsidRPr="003D3C31">
        <w:rPr>
          <w:rFonts w:ascii="Arial" w:hAnsi="Arial" w:cs="Arial"/>
          <w:sz w:val="20"/>
          <w:szCs w:val="20"/>
        </w:rPr>
        <w:t xml:space="preserve"> par la Commission.</w:t>
      </w:r>
    </w:p>
    <w:p w14:paraId="41F9F7CA" w14:textId="77777777" w:rsidR="0053459B" w:rsidRPr="003D3C31" w:rsidRDefault="0053459B" w:rsidP="003D3C31">
      <w:pPr>
        <w:spacing w:line="240" w:lineRule="auto"/>
        <w:contextualSpacing/>
        <w:jc w:val="both"/>
        <w:rPr>
          <w:rFonts w:ascii="Arial" w:hAnsi="Arial" w:cs="Arial"/>
          <w:sz w:val="20"/>
          <w:szCs w:val="20"/>
        </w:rPr>
      </w:pPr>
    </w:p>
    <w:p w14:paraId="2DA3E982"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Les aides de minimis SIEG sont cumulables avec les aides de minimis accordées conformément à d’autres règlements de minimis, dans la limite du plafond de 500 000€ par entreprise sur une période de trois exercices fiscaux.</w:t>
      </w:r>
    </w:p>
    <w:p w14:paraId="0441F400" w14:textId="677E62D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Une aide de minimis SIEG ne peut se cumuler pour le même SIEG et la même période avec une autre compensation, que celle-ci soit ou non une aide d’</w:t>
      </w:r>
      <w:r w:rsidR="00CC30E7" w:rsidRPr="003D3C31">
        <w:rPr>
          <w:rFonts w:ascii="Arial" w:hAnsi="Arial" w:cs="Arial"/>
          <w:sz w:val="20"/>
          <w:szCs w:val="20"/>
        </w:rPr>
        <w:t>E</w:t>
      </w:r>
      <w:r w:rsidRPr="003D3C31">
        <w:rPr>
          <w:rFonts w:ascii="Arial" w:hAnsi="Arial" w:cs="Arial"/>
          <w:sz w:val="20"/>
          <w:szCs w:val="20"/>
        </w:rPr>
        <w:t>tat. Par conséquent, pour éviter d’être qualifié d’aide d’</w:t>
      </w:r>
      <w:r w:rsidR="00CC30E7" w:rsidRPr="003D3C31">
        <w:rPr>
          <w:rFonts w:ascii="Arial" w:hAnsi="Arial" w:cs="Arial"/>
          <w:sz w:val="20"/>
          <w:szCs w:val="20"/>
        </w:rPr>
        <w:t>E</w:t>
      </w:r>
      <w:r w:rsidRPr="003D3C31">
        <w:rPr>
          <w:rFonts w:ascii="Arial" w:hAnsi="Arial" w:cs="Arial"/>
          <w:sz w:val="20"/>
          <w:szCs w:val="20"/>
        </w:rPr>
        <w:t>tat, le montant total de</w:t>
      </w:r>
      <w:r w:rsidR="00DD279B" w:rsidRPr="003D3C31">
        <w:rPr>
          <w:rFonts w:ascii="Arial" w:hAnsi="Arial" w:cs="Arial"/>
          <w:sz w:val="20"/>
          <w:szCs w:val="20"/>
        </w:rPr>
        <w:t xml:space="preserve"> l’ensemble des</w:t>
      </w:r>
      <w:r w:rsidRPr="003D3C31">
        <w:rPr>
          <w:rFonts w:ascii="Arial" w:hAnsi="Arial" w:cs="Arial"/>
          <w:sz w:val="20"/>
          <w:szCs w:val="20"/>
        </w:rPr>
        <w:t xml:space="preserve"> compensation</w:t>
      </w:r>
      <w:r w:rsidR="00DD279B" w:rsidRPr="003D3C31">
        <w:rPr>
          <w:rFonts w:ascii="Arial" w:hAnsi="Arial" w:cs="Arial"/>
          <w:sz w:val="20"/>
          <w:szCs w:val="20"/>
        </w:rPr>
        <w:t>s</w:t>
      </w:r>
      <w:r w:rsidRPr="003D3C31">
        <w:rPr>
          <w:rFonts w:ascii="Arial" w:hAnsi="Arial" w:cs="Arial"/>
          <w:sz w:val="20"/>
          <w:szCs w:val="20"/>
        </w:rPr>
        <w:t xml:space="preserve"> octroyée</w:t>
      </w:r>
      <w:r w:rsidR="00DD279B" w:rsidRPr="003D3C31">
        <w:rPr>
          <w:rFonts w:ascii="Arial" w:hAnsi="Arial" w:cs="Arial"/>
          <w:sz w:val="20"/>
          <w:szCs w:val="20"/>
        </w:rPr>
        <w:t>s</w:t>
      </w:r>
      <w:r w:rsidRPr="003D3C31">
        <w:rPr>
          <w:rFonts w:ascii="Arial" w:hAnsi="Arial" w:cs="Arial"/>
          <w:sz w:val="20"/>
          <w:szCs w:val="20"/>
        </w:rPr>
        <w:t xml:space="preserve"> pour un SIEG doit, soit répondre aux conditions énoncées dans l’arrêt Altmark, soit ne pas excéder le seuil et être octroyé sur la base </w:t>
      </w:r>
      <w:r w:rsidR="00DD279B" w:rsidRPr="003D3C31">
        <w:rPr>
          <w:rFonts w:ascii="Arial" w:hAnsi="Arial" w:cs="Arial"/>
          <w:sz w:val="20"/>
          <w:szCs w:val="20"/>
        </w:rPr>
        <w:t xml:space="preserve">du règlement de </w:t>
      </w:r>
      <w:r w:rsidRPr="003D3C31">
        <w:rPr>
          <w:rFonts w:ascii="Arial" w:hAnsi="Arial" w:cs="Arial"/>
          <w:sz w:val="20"/>
          <w:szCs w:val="20"/>
        </w:rPr>
        <w:t>minimis relatif aux SIEG.</w:t>
      </w:r>
    </w:p>
    <w:p w14:paraId="713A5A52" w14:textId="77777777" w:rsidR="0053459B" w:rsidRPr="003D3C31" w:rsidRDefault="0053459B" w:rsidP="003D3C31">
      <w:pPr>
        <w:spacing w:line="240" w:lineRule="auto"/>
        <w:contextualSpacing/>
        <w:jc w:val="both"/>
        <w:rPr>
          <w:rFonts w:ascii="Arial" w:hAnsi="Arial" w:cs="Arial"/>
          <w:sz w:val="20"/>
          <w:szCs w:val="20"/>
        </w:rPr>
      </w:pPr>
    </w:p>
    <w:p w14:paraId="4EEB7F00" w14:textId="53F6F917" w:rsidR="000E7F07"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 xml:space="preserve">En revanche, si un prestataire se voit confier la gestion de plusieurs SIEG, il peut, pour l’un des SIEG, être compensé au titre du règlement de minimis relatif aux SIEG, pour un autre SIEG, recevoir une compensation conforme aux quatre conditions de l’arrêt Altmark et pour un troisième SIEG, percevoir une compensation au titre de la décision ou de l’encadrement </w:t>
      </w:r>
      <w:proofErr w:type="spellStart"/>
      <w:r w:rsidRPr="003D3C31">
        <w:rPr>
          <w:rFonts w:ascii="Arial" w:hAnsi="Arial" w:cs="Arial"/>
          <w:sz w:val="20"/>
          <w:szCs w:val="20"/>
        </w:rPr>
        <w:t>Almunia</w:t>
      </w:r>
      <w:proofErr w:type="spellEnd"/>
      <w:r w:rsidR="00DD279B" w:rsidRPr="003D3C31">
        <w:rPr>
          <w:rFonts w:ascii="Arial" w:hAnsi="Arial" w:cs="Arial"/>
          <w:sz w:val="20"/>
          <w:szCs w:val="20"/>
        </w:rPr>
        <w:t xml:space="preserve"> (si respect de la comptabilité séparée)</w:t>
      </w:r>
      <w:r w:rsidRPr="003D3C31">
        <w:rPr>
          <w:rFonts w:ascii="Arial" w:hAnsi="Arial" w:cs="Arial"/>
          <w:sz w:val="20"/>
          <w:szCs w:val="20"/>
        </w:rPr>
        <w:t>.</w:t>
      </w:r>
      <w:r w:rsidR="00DD279B" w:rsidRPr="003D3C31">
        <w:rPr>
          <w:rFonts w:ascii="Arial" w:hAnsi="Arial" w:cs="Arial"/>
          <w:sz w:val="20"/>
          <w:szCs w:val="20"/>
        </w:rPr>
        <w:t xml:space="preserve"> </w:t>
      </w:r>
    </w:p>
    <w:p w14:paraId="53B20582" w14:textId="7A34C11B" w:rsidR="0053459B" w:rsidRPr="003D3C31" w:rsidRDefault="0053459B" w:rsidP="003D3C31">
      <w:pPr>
        <w:pStyle w:val="Paragraphedeliste"/>
        <w:numPr>
          <w:ilvl w:val="0"/>
          <w:numId w:val="22"/>
        </w:numPr>
        <w:spacing w:line="240" w:lineRule="auto"/>
        <w:contextualSpacing/>
        <w:jc w:val="both"/>
        <w:rPr>
          <w:rFonts w:ascii="Arial" w:hAnsi="Arial" w:cs="Arial"/>
          <w:b/>
          <w:bCs/>
          <w:color w:val="E36C0A" w:themeColor="accent6" w:themeShade="BF"/>
          <w:sz w:val="20"/>
          <w:szCs w:val="20"/>
        </w:rPr>
      </w:pPr>
      <w:r w:rsidRPr="003D3C31">
        <w:rPr>
          <w:rFonts w:ascii="Arial" w:hAnsi="Arial" w:cs="Arial"/>
          <w:b/>
          <w:bCs/>
          <w:color w:val="E36C0A" w:themeColor="accent6" w:themeShade="BF"/>
          <w:sz w:val="20"/>
          <w:szCs w:val="20"/>
        </w:rPr>
        <w:t xml:space="preserve">Procédure de contrôle </w:t>
      </w:r>
    </w:p>
    <w:p w14:paraId="6F8A28AF" w14:textId="08C1D5A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L’</w:t>
      </w:r>
      <w:r w:rsidR="00A84A3C" w:rsidRPr="003D3C31">
        <w:rPr>
          <w:rFonts w:ascii="Arial" w:hAnsi="Arial" w:cs="Arial"/>
          <w:sz w:val="20"/>
          <w:szCs w:val="20"/>
        </w:rPr>
        <w:t>a</w:t>
      </w:r>
      <w:r w:rsidRPr="003D3C31">
        <w:rPr>
          <w:rFonts w:ascii="Arial" w:hAnsi="Arial" w:cs="Arial"/>
          <w:sz w:val="20"/>
          <w:szCs w:val="20"/>
        </w:rPr>
        <w:t>utorité de gestion doit informer par écrit l’entreprise bénéficiaire du montant potentiel de l’aide, en équivalent-subvention brut, du SIEG pour lequel elle est octroyée et du caractère de minimis de l’aide</w:t>
      </w:r>
      <w:r w:rsidR="00A84A3C" w:rsidRPr="003D3C31">
        <w:rPr>
          <w:rFonts w:ascii="Arial" w:hAnsi="Arial" w:cs="Arial"/>
          <w:sz w:val="20"/>
          <w:szCs w:val="20"/>
        </w:rPr>
        <w:t>.</w:t>
      </w:r>
    </w:p>
    <w:p w14:paraId="2247C753" w14:textId="77777777" w:rsidR="0053459B" w:rsidRPr="003D3C31" w:rsidRDefault="0053459B" w:rsidP="003D3C31">
      <w:pPr>
        <w:spacing w:line="240" w:lineRule="auto"/>
        <w:contextualSpacing/>
        <w:jc w:val="both"/>
        <w:rPr>
          <w:rFonts w:ascii="Arial" w:hAnsi="Arial" w:cs="Arial"/>
          <w:sz w:val="20"/>
          <w:szCs w:val="20"/>
        </w:rPr>
      </w:pPr>
    </w:p>
    <w:p w14:paraId="36B67778"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Avant l’octroi de l’aide, l’AG doit également obtenir de l’entreprise chargée du SIEG une déclaration relative aux autres aides de minimis, au titre du SIEG ou sur le fondement d’un autre règlement de minimis, qu’elle a reçues au cours des deux exercices fiscaux précédents et de l’exercice fiscal en cours.</w:t>
      </w:r>
    </w:p>
    <w:p w14:paraId="111218E7" w14:textId="77777777" w:rsidR="0053459B" w:rsidRPr="003D3C31" w:rsidRDefault="0053459B" w:rsidP="003D3C31">
      <w:pPr>
        <w:spacing w:line="240" w:lineRule="auto"/>
        <w:contextualSpacing/>
        <w:jc w:val="both"/>
        <w:rPr>
          <w:rFonts w:ascii="Arial" w:hAnsi="Arial" w:cs="Arial"/>
          <w:sz w:val="20"/>
          <w:szCs w:val="20"/>
        </w:rPr>
      </w:pPr>
    </w:p>
    <w:p w14:paraId="7E521561"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L’AG n’accorde la nouvelle aide de minimis SIEG qu’après avoir vérifié qu’elle ne porte pas le montant total des aides de minimis accordées à l’entreprise concernée au-delà du plafond de 500 000€ sur trois exercices fiscaux, et que les règles de cumul précitées sont respectées.</w:t>
      </w:r>
    </w:p>
    <w:p w14:paraId="2E0B24AC" w14:textId="77777777" w:rsidR="0053459B" w:rsidRPr="003D3C31" w:rsidRDefault="0053459B" w:rsidP="003D3C31">
      <w:pPr>
        <w:spacing w:line="240" w:lineRule="auto"/>
        <w:contextualSpacing/>
        <w:jc w:val="both"/>
        <w:rPr>
          <w:rFonts w:ascii="Arial" w:hAnsi="Arial" w:cs="Arial"/>
          <w:sz w:val="20"/>
          <w:szCs w:val="20"/>
        </w:rPr>
      </w:pPr>
    </w:p>
    <w:p w14:paraId="7C8AACD4" w14:textId="77777777" w:rsidR="0053459B" w:rsidRPr="003D3C31" w:rsidRDefault="0053459B" w:rsidP="003D3C31">
      <w:pPr>
        <w:spacing w:line="240" w:lineRule="auto"/>
        <w:contextualSpacing/>
        <w:jc w:val="both"/>
        <w:rPr>
          <w:rFonts w:ascii="Arial" w:hAnsi="Arial" w:cs="Arial"/>
          <w:sz w:val="20"/>
          <w:szCs w:val="20"/>
        </w:rPr>
      </w:pPr>
      <w:r w:rsidRPr="003D3C31">
        <w:rPr>
          <w:rFonts w:ascii="Arial" w:hAnsi="Arial" w:cs="Arial"/>
          <w:sz w:val="20"/>
          <w:szCs w:val="20"/>
        </w:rPr>
        <w:t>Les États membres enregistrent et compilent toutes les informations concernant l’application du règlement afin de pouvoir démontrer que ses conditions ont été respectées. Ces informations sont conservées pendant dix exercices fiscaux à partir de la date d’octroi des aides.</w:t>
      </w:r>
    </w:p>
    <w:p w14:paraId="4776EAE2" w14:textId="77777777" w:rsidR="0053459B" w:rsidRPr="003D3C31" w:rsidRDefault="0053459B" w:rsidP="00351580">
      <w:pPr>
        <w:contextualSpacing/>
        <w:jc w:val="both"/>
        <w:rPr>
          <w:rFonts w:ascii="Arial" w:hAnsi="Arial" w:cs="Arial"/>
          <w:sz w:val="18"/>
          <w:szCs w:val="18"/>
        </w:rPr>
      </w:pPr>
    </w:p>
    <w:sectPr w:rsidR="0053459B" w:rsidRPr="003D3C31" w:rsidSect="00EF5313">
      <w:footerReference w:type="default" r:id="rId11"/>
      <w:headerReference w:type="first" r:id="rId12"/>
      <w:pgSz w:w="11906" w:h="16838"/>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5A0BF" w14:textId="77777777" w:rsidR="00FA6667" w:rsidRDefault="00FA6667" w:rsidP="00796A66">
      <w:pPr>
        <w:spacing w:after="0" w:line="240" w:lineRule="auto"/>
      </w:pPr>
      <w:r>
        <w:separator/>
      </w:r>
    </w:p>
  </w:endnote>
  <w:endnote w:type="continuationSeparator" w:id="0">
    <w:p w14:paraId="47374EB7" w14:textId="77777777" w:rsidR="00FA6667" w:rsidRDefault="00FA6667" w:rsidP="00796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376247"/>
      <w:docPartObj>
        <w:docPartGallery w:val="Page Numbers (Bottom of Page)"/>
        <w:docPartUnique/>
      </w:docPartObj>
    </w:sdtPr>
    <w:sdtEndPr>
      <w:rPr>
        <w:rFonts w:ascii="Arial" w:hAnsi="Arial" w:cs="Arial"/>
      </w:rPr>
    </w:sdtEndPr>
    <w:sdtContent>
      <w:p w14:paraId="42C53AE8" w14:textId="5BBDAF8D" w:rsidR="006D62FB" w:rsidRPr="003D3C31" w:rsidRDefault="006D62FB">
        <w:pPr>
          <w:pStyle w:val="Pieddepage"/>
          <w:jc w:val="right"/>
          <w:rPr>
            <w:rFonts w:ascii="Arial" w:hAnsi="Arial" w:cs="Arial"/>
          </w:rPr>
        </w:pPr>
        <w:r w:rsidRPr="003D3C31">
          <w:rPr>
            <w:rFonts w:ascii="Arial" w:hAnsi="Arial" w:cs="Arial"/>
          </w:rPr>
          <w:fldChar w:fldCharType="begin"/>
        </w:r>
        <w:r w:rsidRPr="003D3C31">
          <w:rPr>
            <w:rFonts w:ascii="Arial" w:hAnsi="Arial" w:cs="Arial"/>
          </w:rPr>
          <w:instrText>PAGE   \* MERGEFORMAT</w:instrText>
        </w:r>
        <w:r w:rsidRPr="003D3C31">
          <w:rPr>
            <w:rFonts w:ascii="Arial" w:hAnsi="Arial" w:cs="Arial"/>
          </w:rPr>
          <w:fldChar w:fldCharType="separate"/>
        </w:r>
        <w:r w:rsidRPr="003D3C31">
          <w:rPr>
            <w:rFonts w:ascii="Arial" w:hAnsi="Arial" w:cs="Arial"/>
          </w:rPr>
          <w:t>2</w:t>
        </w:r>
        <w:r w:rsidRPr="003D3C31">
          <w:rPr>
            <w:rFonts w:ascii="Arial" w:hAnsi="Arial" w:cs="Arial"/>
          </w:rPr>
          <w:fldChar w:fldCharType="end"/>
        </w:r>
      </w:p>
    </w:sdtContent>
  </w:sdt>
  <w:p w14:paraId="7E1D7460" w14:textId="00A7DC90" w:rsidR="00E02474" w:rsidRPr="00B06EED" w:rsidRDefault="00E02474" w:rsidP="005740FF">
    <w:pPr>
      <w:pStyle w:val="Pieddepage"/>
      <w:jc w:val="right"/>
      <w:rPr>
        <w:rFonts w:ascii="Franklin Gothic Book" w:hAnsi="Franklin Gothic Book"/>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B1F85" w14:textId="77777777" w:rsidR="00FA6667" w:rsidRDefault="00FA6667" w:rsidP="00796A66">
      <w:pPr>
        <w:spacing w:after="0" w:line="240" w:lineRule="auto"/>
      </w:pPr>
      <w:r>
        <w:separator/>
      </w:r>
    </w:p>
  </w:footnote>
  <w:footnote w:type="continuationSeparator" w:id="0">
    <w:p w14:paraId="2D6470E3" w14:textId="77777777" w:rsidR="00FA6667" w:rsidRDefault="00FA6667" w:rsidP="00796A66">
      <w:pPr>
        <w:spacing w:after="0" w:line="240" w:lineRule="auto"/>
      </w:pPr>
      <w:r>
        <w:continuationSeparator/>
      </w:r>
    </w:p>
  </w:footnote>
  <w:footnote w:id="1">
    <w:p w14:paraId="4882202C" w14:textId="77777777" w:rsidR="0011789C" w:rsidRPr="003D3C31" w:rsidRDefault="0011789C" w:rsidP="0011789C">
      <w:pPr>
        <w:pStyle w:val="Notedebasdepage"/>
        <w:rPr>
          <w:rFonts w:ascii="Arial" w:hAnsi="Arial" w:cs="Arial"/>
          <w:sz w:val="16"/>
          <w:szCs w:val="16"/>
        </w:rPr>
      </w:pPr>
      <w:r w:rsidRPr="003D3C31">
        <w:rPr>
          <w:rStyle w:val="Appelnotedebasdep"/>
          <w:rFonts w:ascii="Arial" w:hAnsi="Arial" w:cs="Arial"/>
          <w:sz w:val="16"/>
          <w:szCs w:val="16"/>
        </w:rPr>
        <w:footnoteRef/>
      </w:r>
      <w:r w:rsidRPr="003D3C31">
        <w:rPr>
          <w:rFonts w:ascii="Arial" w:hAnsi="Arial" w:cs="Arial"/>
          <w:sz w:val="16"/>
          <w:szCs w:val="16"/>
        </w:rPr>
        <w:t xml:space="preserve"> Déjà établis par le paquet « </w:t>
      </w:r>
      <w:r w:rsidRPr="003D3C31">
        <w:rPr>
          <w:rFonts w:ascii="Arial" w:hAnsi="Arial" w:cs="Arial"/>
          <w:i/>
          <w:sz w:val="16"/>
          <w:szCs w:val="16"/>
        </w:rPr>
        <w:t>Monti-</w:t>
      </w:r>
      <w:proofErr w:type="spellStart"/>
      <w:r w:rsidRPr="003D3C31">
        <w:rPr>
          <w:rFonts w:ascii="Arial" w:hAnsi="Arial" w:cs="Arial"/>
          <w:i/>
          <w:sz w:val="16"/>
          <w:szCs w:val="16"/>
        </w:rPr>
        <w:t>Kroes</w:t>
      </w:r>
      <w:proofErr w:type="spellEnd"/>
      <w:r w:rsidRPr="003D3C31">
        <w:rPr>
          <w:rFonts w:ascii="Arial" w:hAnsi="Arial" w:cs="Arial"/>
          <w:sz w:val="16"/>
          <w:szCs w:val="16"/>
        </w:rPr>
        <w:t> », adopté en 2005.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AA73" w14:textId="2B6379A8" w:rsidR="00EF5313" w:rsidRDefault="00EF7A35">
    <w:pPr>
      <w:pStyle w:val="En-tte"/>
    </w:pPr>
    <w:r w:rsidRPr="00EF7A35">
      <w:drawing>
        <wp:anchor distT="0" distB="0" distL="114300" distR="114300" simplePos="0" relativeHeight="251660288" behindDoc="0" locked="0" layoutInCell="1" allowOverlap="1" wp14:anchorId="25DA3F37" wp14:editId="6262D4E6">
          <wp:simplePos x="0" y="0"/>
          <wp:positionH relativeFrom="column">
            <wp:posOffset>0</wp:posOffset>
          </wp:positionH>
          <wp:positionV relativeFrom="paragraph">
            <wp:posOffset>189865</wp:posOffset>
          </wp:positionV>
          <wp:extent cx="2499360" cy="5530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5362"/>
                  <a:stretch/>
                </pic:blipFill>
                <pic:spPr bwMode="auto">
                  <a:xfrm>
                    <a:off x="0" y="0"/>
                    <a:ext cx="249936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F7A35">
      <w:drawing>
        <wp:anchor distT="0" distB="0" distL="114300" distR="114300" simplePos="0" relativeHeight="251659264" behindDoc="0" locked="0" layoutInCell="1" allowOverlap="1" wp14:anchorId="771AD145" wp14:editId="404F46A9">
          <wp:simplePos x="0" y="0"/>
          <wp:positionH relativeFrom="margin">
            <wp:posOffset>2351405</wp:posOffset>
          </wp:positionH>
          <wp:positionV relativeFrom="paragraph">
            <wp:posOffset>86360</wp:posOffset>
          </wp:positionV>
          <wp:extent cx="1836420" cy="7181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6420" cy="718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567AFA" w14:textId="68FF8D1A" w:rsidR="00EF5313" w:rsidRDefault="00EF5313">
    <w:pPr>
      <w:pStyle w:val="En-tte"/>
    </w:pPr>
  </w:p>
  <w:p w14:paraId="434D3D83" w14:textId="77777777" w:rsidR="00EF5313" w:rsidRDefault="00EF53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E0EE6"/>
    <w:multiLevelType w:val="hybridMultilevel"/>
    <w:tmpl w:val="36189168"/>
    <w:lvl w:ilvl="0" w:tplc="E18C7524">
      <w:numFmt w:val="bullet"/>
      <w:lvlText w:val="-"/>
      <w:lvlJc w:val="left"/>
      <w:pPr>
        <w:ind w:left="710" w:hanging="710"/>
      </w:pPr>
      <w:rPr>
        <w:rFonts w:ascii="Arial" w:eastAsia="Calibri" w:hAnsi="Arial" w:cs="Arial" w:hint="default"/>
        <w:b w:val="0"/>
        <w:bCs/>
        <w:i w:val="0"/>
        <w:iCs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FC432E"/>
    <w:multiLevelType w:val="hybridMultilevel"/>
    <w:tmpl w:val="4D866460"/>
    <w:lvl w:ilvl="0" w:tplc="0F8E28E2">
      <w:start w:val="1"/>
      <w:numFmt w:val="upperRoman"/>
      <w:lvlText w:val="%1."/>
      <w:lvlJc w:val="left"/>
      <w:pPr>
        <w:ind w:left="1080" w:hanging="72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E0BC7"/>
    <w:multiLevelType w:val="hybridMultilevel"/>
    <w:tmpl w:val="E41CBCAC"/>
    <w:lvl w:ilvl="0" w:tplc="1562AB80">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016B44"/>
    <w:multiLevelType w:val="hybridMultilevel"/>
    <w:tmpl w:val="74240426"/>
    <w:lvl w:ilvl="0" w:tplc="040C000F">
      <w:start w:val="1"/>
      <w:numFmt w:val="decimal"/>
      <w:lvlText w:val="%1."/>
      <w:lvlJc w:val="left"/>
      <w:pPr>
        <w:ind w:left="1004" w:hanging="360"/>
      </w:pPr>
    </w:lvl>
    <w:lvl w:ilvl="1" w:tplc="6A2EC94E">
      <w:start w:val="1"/>
      <w:numFmt w:val="upperLetter"/>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182D3C00"/>
    <w:multiLevelType w:val="hybridMultilevel"/>
    <w:tmpl w:val="E79E1968"/>
    <w:lvl w:ilvl="0" w:tplc="040C0015">
      <w:start w:val="1"/>
      <w:numFmt w:val="upperLetter"/>
      <w:lvlText w:val="%1."/>
      <w:lvlJc w:val="left"/>
      <w:pPr>
        <w:ind w:left="1429" w:hanging="360"/>
      </w:pPr>
    </w:lvl>
    <w:lvl w:ilvl="1" w:tplc="040C0015">
      <w:start w:val="1"/>
      <w:numFmt w:val="upp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 w15:restartNumberingAfterBreak="0">
    <w:nsid w:val="187A25CB"/>
    <w:multiLevelType w:val="hybridMultilevel"/>
    <w:tmpl w:val="0878512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416FF1"/>
    <w:multiLevelType w:val="hybridMultilevel"/>
    <w:tmpl w:val="8A649582"/>
    <w:lvl w:ilvl="0" w:tplc="23ACEFE0">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512DF4"/>
    <w:multiLevelType w:val="hybridMultilevel"/>
    <w:tmpl w:val="1BA8556A"/>
    <w:lvl w:ilvl="0" w:tplc="5B460F7A">
      <w:numFmt w:val="bullet"/>
      <w:lvlText w:val="-"/>
      <w:lvlJc w:val="left"/>
      <w:pPr>
        <w:ind w:left="1070" w:hanging="71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E1497C"/>
    <w:multiLevelType w:val="hybridMultilevel"/>
    <w:tmpl w:val="BDE20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7F5B0A"/>
    <w:multiLevelType w:val="hybridMultilevel"/>
    <w:tmpl w:val="884C63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BF660F"/>
    <w:multiLevelType w:val="hybridMultilevel"/>
    <w:tmpl w:val="37DA38C6"/>
    <w:lvl w:ilvl="0" w:tplc="5B460F7A">
      <w:numFmt w:val="bullet"/>
      <w:lvlText w:val="-"/>
      <w:lvlJc w:val="left"/>
      <w:pPr>
        <w:ind w:left="710" w:hanging="710"/>
      </w:pPr>
      <w:rPr>
        <w:rFonts w:ascii="Franklin Gothic Book" w:eastAsia="Calibri" w:hAnsi="Franklin Gothic Book"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310FB5"/>
    <w:multiLevelType w:val="hybridMultilevel"/>
    <w:tmpl w:val="20002ADA"/>
    <w:lvl w:ilvl="0" w:tplc="CBBED864">
      <w:start w:val="1"/>
      <w:numFmt w:val="bullet"/>
      <w:lvlText w:val="-"/>
      <w:lvlJc w:val="left"/>
      <w:pPr>
        <w:ind w:left="720" w:hanging="360"/>
      </w:pPr>
      <w:rPr>
        <w:rFonts w:ascii="Franklin Gothic Book" w:eastAsia="Calibr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678D8"/>
    <w:multiLevelType w:val="hybridMultilevel"/>
    <w:tmpl w:val="71A67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F1D1B7A"/>
    <w:multiLevelType w:val="hybridMultilevel"/>
    <w:tmpl w:val="A0E02B88"/>
    <w:lvl w:ilvl="0" w:tplc="040C0003">
      <w:start w:val="1"/>
      <w:numFmt w:val="bullet"/>
      <w:lvlText w:val="o"/>
      <w:lvlJc w:val="left"/>
      <w:pPr>
        <w:ind w:left="1429" w:hanging="360"/>
      </w:pPr>
      <w:rPr>
        <w:rFonts w:ascii="Courier New" w:hAnsi="Courier New" w:cs="Courier New"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362E3CD0"/>
    <w:multiLevelType w:val="hybridMultilevel"/>
    <w:tmpl w:val="5874E85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C25434"/>
    <w:multiLevelType w:val="hybridMultilevel"/>
    <w:tmpl w:val="0324C3F0"/>
    <w:lvl w:ilvl="0" w:tplc="23ACEFE0">
      <w:numFmt w:val="bullet"/>
      <w:lvlText w:val="-"/>
      <w:lvlJc w:val="left"/>
      <w:pPr>
        <w:ind w:left="720" w:hanging="360"/>
      </w:pPr>
      <w:rPr>
        <w:rFonts w:ascii="Verdana" w:eastAsia="Calibri" w:hAnsi="Verdana" w:cs="Times New Roman" w:hint="default"/>
      </w:rPr>
    </w:lvl>
    <w:lvl w:ilvl="1" w:tplc="5E2E7C86">
      <w:numFmt w:val="bullet"/>
      <w:lvlText w:val="·"/>
      <w:lvlJc w:val="left"/>
      <w:pPr>
        <w:ind w:left="1440" w:hanging="360"/>
      </w:pPr>
      <w:rPr>
        <w:rFonts w:ascii="Franklin Gothic Book" w:eastAsia="Calibri" w:hAnsi="Franklin Gothic Book"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9E56DB"/>
    <w:multiLevelType w:val="hybridMultilevel"/>
    <w:tmpl w:val="97C6EC14"/>
    <w:lvl w:ilvl="0" w:tplc="5B460F7A">
      <w:numFmt w:val="bullet"/>
      <w:lvlText w:val="-"/>
      <w:lvlJc w:val="left"/>
      <w:pPr>
        <w:ind w:left="360" w:hanging="360"/>
      </w:pPr>
      <w:rPr>
        <w:rFonts w:ascii="Franklin Gothic Book" w:eastAsia="Calibri" w:hAnsi="Franklin Gothic Book"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F5F73B4"/>
    <w:multiLevelType w:val="hybridMultilevel"/>
    <w:tmpl w:val="C9E4CD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7B7B9E"/>
    <w:multiLevelType w:val="hybridMultilevel"/>
    <w:tmpl w:val="08F0180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38D0CF5"/>
    <w:multiLevelType w:val="hybridMultilevel"/>
    <w:tmpl w:val="F38ABE0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542177B"/>
    <w:multiLevelType w:val="hybridMultilevel"/>
    <w:tmpl w:val="9754E034"/>
    <w:lvl w:ilvl="0" w:tplc="E27420D2">
      <w:start w:val="1"/>
      <w:numFmt w:val="upperLetter"/>
      <w:lvlText w:val="%1."/>
      <w:lvlJc w:val="left"/>
      <w:pPr>
        <w:ind w:left="1069" w:hanging="360"/>
      </w:pPr>
      <w:rPr>
        <w:color w:val="E36C0A" w:themeColor="accent6" w:themeShade="BF"/>
        <w:sz w:val="20"/>
        <w:szCs w:val="20"/>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15:restartNumberingAfterBreak="0">
    <w:nsid w:val="5D683656"/>
    <w:multiLevelType w:val="hybridMultilevel"/>
    <w:tmpl w:val="08F0180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7EB7E97"/>
    <w:multiLevelType w:val="hybridMultilevel"/>
    <w:tmpl w:val="894A6E7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697D3DEB"/>
    <w:multiLevelType w:val="hybridMultilevel"/>
    <w:tmpl w:val="5AF87240"/>
    <w:lvl w:ilvl="0" w:tplc="5B460F7A">
      <w:numFmt w:val="bullet"/>
      <w:lvlText w:val="-"/>
      <w:lvlJc w:val="left"/>
      <w:pPr>
        <w:ind w:left="360" w:hanging="360"/>
      </w:pPr>
      <w:rPr>
        <w:rFonts w:ascii="Franklin Gothic Book" w:eastAsia="Calibri" w:hAnsi="Franklin Gothic Book"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9A22EF7"/>
    <w:multiLevelType w:val="hybridMultilevel"/>
    <w:tmpl w:val="C91E0E00"/>
    <w:lvl w:ilvl="0" w:tplc="5B460F7A">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D86171"/>
    <w:multiLevelType w:val="hybridMultilevel"/>
    <w:tmpl w:val="51FEDB1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5D71D6E"/>
    <w:multiLevelType w:val="hybridMultilevel"/>
    <w:tmpl w:val="826E310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C1415E"/>
    <w:multiLevelType w:val="hybridMultilevel"/>
    <w:tmpl w:val="401617C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2"/>
  </w:num>
  <w:num w:numId="2">
    <w:abstractNumId w:val="15"/>
  </w:num>
  <w:num w:numId="3">
    <w:abstractNumId w:val="31"/>
  </w:num>
  <w:num w:numId="4">
    <w:abstractNumId w:val="2"/>
  </w:num>
  <w:num w:numId="5">
    <w:abstractNumId w:val="3"/>
  </w:num>
  <w:num w:numId="6">
    <w:abstractNumId w:val="29"/>
  </w:num>
  <w:num w:numId="7">
    <w:abstractNumId w:val="1"/>
  </w:num>
  <w:num w:numId="8">
    <w:abstractNumId w:val="4"/>
  </w:num>
  <w:num w:numId="9">
    <w:abstractNumId w:val="13"/>
  </w:num>
  <w:num w:numId="10">
    <w:abstractNumId w:val="5"/>
  </w:num>
  <w:num w:numId="11">
    <w:abstractNumId w:val="6"/>
  </w:num>
  <w:num w:numId="12">
    <w:abstractNumId w:val="7"/>
  </w:num>
  <w:num w:numId="13">
    <w:abstractNumId w:val="23"/>
  </w:num>
  <w:num w:numId="14">
    <w:abstractNumId w:val="33"/>
  </w:num>
  <w:num w:numId="15">
    <w:abstractNumId w:val="30"/>
  </w:num>
  <w:num w:numId="16">
    <w:abstractNumId w:val="8"/>
  </w:num>
  <w:num w:numId="17">
    <w:abstractNumId w:val="18"/>
  </w:num>
  <w:num w:numId="18">
    <w:abstractNumId w:val="25"/>
  </w:num>
  <w:num w:numId="19">
    <w:abstractNumId w:val="20"/>
  </w:num>
  <w:num w:numId="20">
    <w:abstractNumId w:val="22"/>
  </w:num>
  <w:num w:numId="21">
    <w:abstractNumId w:val="28"/>
  </w:num>
  <w:num w:numId="22">
    <w:abstractNumId w:val="24"/>
  </w:num>
  <w:num w:numId="23">
    <w:abstractNumId w:val="21"/>
  </w:num>
  <w:num w:numId="24">
    <w:abstractNumId w:val="11"/>
  </w:num>
  <w:num w:numId="25">
    <w:abstractNumId w:val="10"/>
  </w:num>
  <w:num w:numId="26">
    <w:abstractNumId w:val="9"/>
  </w:num>
  <w:num w:numId="27">
    <w:abstractNumId w:val="12"/>
  </w:num>
  <w:num w:numId="28">
    <w:abstractNumId w:val="16"/>
  </w:num>
  <w:num w:numId="29">
    <w:abstractNumId w:val="17"/>
  </w:num>
  <w:num w:numId="30">
    <w:abstractNumId w:val="26"/>
  </w:num>
  <w:num w:numId="31">
    <w:abstractNumId w:val="27"/>
  </w:num>
  <w:num w:numId="32">
    <w:abstractNumId w:val="19"/>
  </w:num>
  <w:num w:numId="33">
    <w:abstractNumId w:val="14"/>
  </w:num>
  <w:num w:numId="3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A66"/>
    <w:rsid w:val="000015EA"/>
    <w:rsid w:val="00003A99"/>
    <w:rsid w:val="0000419A"/>
    <w:rsid w:val="0000631D"/>
    <w:rsid w:val="00011C73"/>
    <w:rsid w:val="00015503"/>
    <w:rsid w:val="000163B6"/>
    <w:rsid w:val="00024A17"/>
    <w:rsid w:val="000302F9"/>
    <w:rsid w:val="000309FC"/>
    <w:rsid w:val="0003181A"/>
    <w:rsid w:val="00032AE6"/>
    <w:rsid w:val="000335C2"/>
    <w:rsid w:val="0003447D"/>
    <w:rsid w:val="00037321"/>
    <w:rsid w:val="00043174"/>
    <w:rsid w:val="0004323C"/>
    <w:rsid w:val="00044E29"/>
    <w:rsid w:val="00045F91"/>
    <w:rsid w:val="00050D15"/>
    <w:rsid w:val="0005128E"/>
    <w:rsid w:val="000513CC"/>
    <w:rsid w:val="00051D7F"/>
    <w:rsid w:val="000568CE"/>
    <w:rsid w:val="00064D74"/>
    <w:rsid w:val="00075266"/>
    <w:rsid w:val="00075474"/>
    <w:rsid w:val="00076015"/>
    <w:rsid w:val="00077B37"/>
    <w:rsid w:val="000843B0"/>
    <w:rsid w:val="00085540"/>
    <w:rsid w:val="00091FFA"/>
    <w:rsid w:val="00092C91"/>
    <w:rsid w:val="000973EF"/>
    <w:rsid w:val="000A66A8"/>
    <w:rsid w:val="000B66CF"/>
    <w:rsid w:val="000C2F68"/>
    <w:rsid w:val="000D0055"/>
    <w:rsid w:val="000D788E"/>
    <w:rsid w:val="000E3129"/>
    <w:rsid w:val="000E7CAF"/>
    <w:rsid w:val="000E7CC2"/>
    <w:rsid w:val="000E7F07"/>
    <w:rsid w:val="000F35AD"/>
    <w:rsid w:val="000F4931"/>
    <w:rsid w:val="000F56DE"/>
    <w:rsid w:val="000F7E18"/>
    <w:rsid w:val="00100DE3"/>
    <w:rsid w:val="00101304"/>
    <w:rsid w:val="001023F0"/>
    <w:rsid w:val="00104385"/>
    <w:rsid w:val="00111CA6"/>
    <w:rsid w:val="00111DC0"/>
    <w:rsid w:val="001145BB"/>
    <w:rsid w:val="00114D42"/>
    <w:rsid w:val="0011789C"/>
    <w:rsid w:val="00123D90"/>
    <w:rsid w:val="00125E80"/>
    <w:rsid w:val="00125F4F"/>
    <w:rsid w:val="0012649B"/>
    <w:rsid w:val="00131AF3"/>
    <w:rsid w:val="0013404E"/>
    <w:rsid w:val="00136193"/>
    <w:rsid w:val="0013699A"/>
    <w:rsid w:val="00136D10"/>
    <w:rsid w:val="00140685"/>
    <w:rsid w:val="00140A87"/>
    <w:rsid w:val="00141DFF"/>
    <w:rsid w:val="001463AE"/>
    <w:rsid w:val="001471CD"/>
    <w:rsid w:val="00151571"/>
    <w:rsid w:val="00151A3A"/>
    <w:rsid w:val="00152126"/>
    <w:rsid w:val="0015410B"/>
    <w:rsid w:val="00164129"/>
    <w:rsid w:val="00164D94"/>
    <w:rsid w:val="00166D6B"/>
    <w:rsid w:val="00167B75"/>
    <w:rsid w:val="00171CBD"/>
    <w:rsid w:val="0017201D"/>
    <w:rsid w:val="001804E0"/>
    <w:rsid w:val="0018100D"/>
    <w:rsid w:val="00181AA9"/>
    <w:rsid w:val="00184E7E"/>
    <w:rsid w:val="001877AE"/>
    <w:rsid w:val="00187B2C"/>
    <w:rsid w:val="001933FB"/>
    <w:rsid w:val="00196D1F"/>
    <w:rsid w:val="001973FE"/>
    <w:rsid w:val="001A2155"/>
    <w:rsid w:val="001A501F"/>
    <w:rsid w:val="001A5022"/>
    <w:rsid w:val="001B162F"/>
    <w:rsid w:val="001B1D57"/>
    <w:rsid w:val="001B34E3"/>
    <w:rsid w:val="001B5872"/>
    <w:rsid w:val="001B59A6"/>
    <w:rsid w:val="001B650A"/>
    <w:rsid w:val="001B688C"/>
    <w:rsid w:val="001C0FBA"/>
    <w:rsid w:val="001C1999"/>
    <w:rsid w:val="001C2DE9"/>
    <w:rsid w:val="001C4CA9"/>
    <w:rsid w:val="001C6304"/>
    <w:rsid w:val="001C684C"/>
    <w:rsid w:val="001C783F"/>
    <w:rsid w:val="001D04FC"/>
    <w:rsid w:val="001D5DD7"/>
    <w:rsid w:val="001D7BBA"/>
    <w:rsid w:val="001E5586"/>
    <w:rsid w:val="001E6D02"/>
    <w:rsid w:val="001E7F8B"/>
    <w:rsid w:val="001F44C6"/>
    <w:rsid w:val="001F689B"/>
    <w:rsid w:val="002015F9"/>
    <w:rsid w:val="002021DF"/>
    <w:rsid w:val="002035E2"/>
    <w:rsid w:val="00204DEA"/>
    <w:rsid w:val="002068AB"/>
    <w:rsid w:val="00210036"/>
    <w:rsid w:val="00210FAE"/>
    <w:rsid w:val="00213109"/>
    <w:rsid w:val="00214CBC"/>
    <w:rsid w:val="00217C9D"/>
    <w:rsid w:val="0022302A"/>
    <w:rsid w:val="00225974"/>
    <w:rsid w:val="00232A53"/>
    <w:rsid w:val="00233352"/>
    <w:rsid w:val="002355DB"/>
    <w:rsid w:val="00235A3A"/>
    <w:rsid w:val="00236FAA"/>
    <w:rsid w:val="0023720A"/>
    <w:rsid w:val="002405C1"/>
    <w:rsid w:val="002414C5"/>
    <w:rsid w:val="00242566"/>
    <w:rsid w:val="00245421"/>
    <w:rsid w:val="00252E6D"/>
    <w:rsid w:val="00253760"/>
    <w:rsid w:val="002665D9"/>
    <w:rsid w:val="00267A66"/>
    <w:rsid w:val="00272431"/>
    <w:rsid w:val="00275427"/>
    <w:rsid w:val="00276764"/>
    <w:rsid w:val="00280D24"/>
    <w:rsid w:val="0028245D"/>
    <w:rsid w:val="002851AB"/>
    <w:rsid w:val="00291007"/>
    <w:rsid w:val="00291700"/>
    <w:rsid w:val="00296750"/>
    <w:rsid w:val="002974ED"/>
    <w:rsid w:val="002A2501"/>
    <w:rsid w:val="002A5088"/>
    <w:rsid w:val="002A6AAA"/>
    <w:rsid w:val="002A6F5B"/>
    <w:rsid w:val="002A7816"/>
    <w:rsid w:val="002B3313"/>
    <w:rsid w:val="002B412A"/>
    <w:rsid w:val="002B4BF1"/>
    <w:rsid w:val="002B60F0"/>
    <w:rsid w:val="002C0A53"/>
    <w:rsid w:val="002C1ECA"/>
    <w:rsid w:val="002C2591"/>
    <w:rsid w:val="002C4073"/>
    <w:rsid w:val="002C5D12"/>
    <w:rsid w:val="002C7A7B"/>
    <w:rsid w:val="002D0B5B"/>
    <w:rsid w:val="002D2BE7"/>
    <w:rsid w:val="002D4E64"/>
    <w:rsid w:val="002E05A9"/>
    <w:rsid w:val="002E169C"/>
    <w:rsid w:val="002E2093"/>
    <w:rsid w:val="002E2189"/>
    <w:rsid w:val="002E2466"/>
    <w:rsid w:val="002E4476"/>
    <w:rsid w:val="002F0F81"/>
    <w:rsid w:val="002F1636"/>
    <w:rsid w:val="002F2C75"/>
    <w:rsid w:val="002F336A"/>
    <w:rsid w:val="002F3C24"/>
    <w:rsid w:val="002F4147"/>
    <w:rsid w:val="002F6756"/>
    <w:rsid w:val="002F7CBA"/>
    <w:rsid w:val="0030020D"/>
    <w:rsid w:val="003004CA"/>
    <w:rsid w:val="0030051F"/>
    <w:rsid w:val="00304B43"/>
    <w:rsid w:val="0030660E"/>
    <w:rsid w:val="00311F71"/>
    <w:rsid w:val="00314C84"/>
    <w:rsid w:val="0031562C"/>
    <w:rsid w:val="00315F8E"/>
    <w:rsid w:val="00317350"/>
    <w:rsid w:val="00323C2A"/>
    <w:rsid w:val="003304F4"/>
    <w:rsid w:val="00331E02"/>
    <w:rsid w:val="003328DF"/>
    <w:rsid w:val="0033408E"/>
    <w:rsid w:val="0033612B"/>
    <w:rsid w:val="00340A99"/>
    <w:rsid w:val="00342089"/>
    <w:rsid w:val="00343361"/>
    <w:rsid w:val="00351580"/>
    <w:rsid w:val="0035193F"/>
    <w:rsid w:val="00355791"/>
    <w:rsid w:val="0035597B"/>
    <w:rsid w:val="00355AD0"/>
    <w:rsid w:val="00363C0E"/>
    <w:rsid w:val="00364365"/>
    <w:rsid w:val="00365BA9"/>
    <w:rsid w:val="0037023D"/>
    <w:rsid w:val="00371EE8"/>
    <w:rsid w:val="0037376D"/>
    <w:rsid w:val="00373DDD"/>
    <w:rsid w:val="00382A5B"/>
    <w:rsid w:val="003851D2"/>
    <w:rsid w:val="00385968"/>
    <w:rsid w:val="003900AD"/>
    <w:rsid w:val="00396B86"/>
    <w:rsid w:val="00396EF1"/>
    <w:rsid w:val="003A1CA2"/>
    <w:rsid w:val="003A1E4A"/>
    <w:rsid w:val="003A6061"/>
    <w:rsid w:val="003A75C5"/>
    <w:rsid w:val="003B0029"/>
    <w:rsid w:val="003B0819"/>
    <w:rsid w:val="003B23A3"/>
    <w:rsid w:val="003B265F"/>
    <w:rsid w:val="003B277F"/>
    <w:rsid w:val="003B36C5"/>
    <w:rsid w:val="003B75B9"/>
    <w:rsid w:val="003C0152"/>
    <w:rsid w:val="003C2B40"/>
    <w:rsid w:val="003C31DD"/>
    <w:rsid w:val="003C429F"/>
    <w:rsid w:val="003C5FC4"/>
    <w:rsid w:val="003C65E5"/>
    <w:rsid w:val="003C77E2"/>
    <w:rsid w:val="003C79BF"/>
    <w:rsid w:val="003D0752"/>
    <w:rsid w:val="003D0BC2"/>
    <w:rsid w:val="003D3C31"/>
    <w:rsid w:val="003D3D17"/>
    <w:rsid w:val="003D4027"/>
    <w:rsid w:val="003D41CF"/>
    <w:rsid w:val="003D55E5"/>
    <w:rsid w:val="003D6529"/>
    <w:rsid w:val="003D6A35"/>
    <w:rsid w:val="003E2E87"/>
    <w:rsid w:val="003E43C6"/>
    <w:rsid w:val="003E53AF"/>
    <w:rsid w:val="003E5F40"/>
    <w:rsid w:val="003E6825"/>
    <w:rsid w:val="003E7D36"/>
    <w:rsid w:val="003F1DB8"/>
    <w:rsid w:val="003F3494"/>
    <w:rsid w:val="003F7261"/>
    <w:rsid w:val="003F75FD"/>
    <w:rsid w:val="0041048E"/>
    <w:rsid w:val="0041375A"/>
    <w:rsid w:val="004140A3"/>
    <w:rsid w:val="00420D95"/>
    <w:rsid w:val="004233CB"/>
    <w:rsid w:val="00426107"/>
    <w:rsid w:val="0042634C"/>
    <w:rsid w:val="00431FFF"/>
    <w:rsid w:val="0043616A"/>
    <w:rsid w:val="004410AA"/>
    <w:rsid w:val="00441B73"/>
    <w:rsid w:val="004428DA"/>
    <w:rsid w:val="00443ECB"/>
    <w:rsid w:val="00444200"/>
    <w:rsid w:val="0044424A"/>
    <w:rsid w:val="0045084B"/>
    <w:rsid w:val="00450B0C"/>
    <w:rsid w:val="00451338"/>
    <w:rsid w:val="00454FB1"/>
    <w:rsid w:val="00461CC3"/>
    <w:rsid w:val="00462FD2"/>
    <w:rsid w:val="00464891"/>
    <w:rsid w:val="00466F58"/>
    <w:rsid w:val="00476DF6"/>
    <w:rsid w:val="00482F50"/>
    <w:rsid w:val="00483F52"/>
    <w:rsid w:val="00495C40"/>
    <w:rsid w:val="004B01FC"/>
    <w:rsid w:val="004B12AC"/>
    <w:rsid w:val="004B18FD"/>
    <w:rsid w:val="004B26BB"/>
    <w:rsid w:val="004B4A79"/>
    <w:rsid w:val="004B6AE7"/>
    <w:rsid w:val="004B71F6"/>
    <w:rsid w:val="004B7C2A"/>
    <w:rsid w:val="004C173C"/>
    <w:rsid w:val="004C21DA"/>
    <w:rsid w:val="004C27D2"/>
    <w:rsid w:val="004C28B8"/>
    <w:rsid w:val="004C2C5E"/>
    <w:rsid w:val="004C4847"/>
    <w:rsid w:val="004C4B19"/>
    <w:rsid w:val="004C7341"/>
    <w:rsid w:val="004D15E7"/>
    <w:rsid w:val="004D2CF2"/>
    <w:rsid w:val="004D56AA"/>
    <w:rsid w:val="004D736B"/>
    <w:rsid w:val="004E10B4"/>
    <w:rsid w:val="004E344E"/>
    <w:rsid w:val="004F2185"/>
    <w:rsid w:val="004F27A9"/>
    <w:rsid w:val="004F31D8"/>
    <w:rsid w:val="004F4F34"/>
    <w:rsid w:val="004F6A00"/>
    <w:rsid w:val="00500EAD"/>
    <w:rsid w:val="0050269A"/>
    <w:rsid w:val="00503D16"/>
    <w:rsid w:val="0050794C"/>
    <w:rsid w:val="00510885"/>
    <w:rsid w:val="00512BEC"/>
    <w:rsid w:val="00522F98"/>
    <w:rsid w:val="005256FB"/>
    <w:rsid w:val="00530AC0"/>
    <w:rsid w:val="0053459B"/>
    <w:rsid w:val="0053730A"/>
    <w:rsid w:val="00540309"/>
    <w:rsid w:val="0054406F"/>
    <w:rsid w:val="005441BB"/>
    <w:rsid w:val="00544E04"/>
    <w:rsid w:val="00546B91"/>
    <w:rsid w:val="00551507"/>
    <w:rsid w:val="00555BF2"/>
    <w:rsid w:val="00556EE2"/>
    <w:rsid w:val="005579FA"/>
    <w:rsid w:val="00567231"/>
    <w:rsid w:val="00567C02"/>
    <w:rsid w:val="00570C0A"/>
    <w:rsid w:val="0057352A"/>
    <w:rsid w:val="005740FF"/>
    <w:rsid w:val="005801F3"/>
    <w:rsid w:val="00581ED5"/>
    <w:rsid w:val="005823A5"/>
    <w:rsid w:val="00583915"/>
    <w:rsid w:val="005902C7"/>
    <w:rsid w:val="00592202"/>
    <w:rsid w:val="005924B7"/>
    <w:rsid w:val="0059403E"/>
    <w:rsid w:val="00595530"/>
    <w:rsid w:val="00596904"/>
    <w:rsid w:val="005A260B"/>
    <w:rsid w:val="005A3AAC"/>
    <w:rsid w:val="005B0AA4"/>
    <w:rsid w:val="005B2C13"/>
    <w:rsid w:val="005B537A"/>
    <w:rsid w:val="005B5682"/>
    <w:rsid w:val="005B56D9"/>
    <w:rsid w:val="005C6EB6"/>
    <w:rsid w:val="005D0054"/>
    <w:rsid w:val="005D06AE"/>
    <w:rsid w:val="005D0807"/>
    <w:rsid w:val="005D22F0"/>
    <w:rsid w:val="005D24B4"/>
    <w:rsid w:val="005D276C"/>
    <w:rsid w:val="005D6A7D"/>
    <w:rsid w:val="005E2169"/>
    <w:rsid w:val="005E2C90"/>
    <w:rsid w:val="005E4E21"/>
    <w:rsid w:val="005E6F5B"/>
    <w:rsid w:val="005E7E1F"/>
    <w:rsid w:val="005F169E"/>
    <w:rsid w:val="005F1994"/>
    <w:rsid w:val="005F2071"/>
    <w:rsid w:val="005F3DBB"/>
    <w:rsid w:val="00601099"/>
    <w:rsid w:val="0060172A"/>
    <w:rsid w:val="006028AF"/>
    <w:rsid w:val="006030D1"/>
    <w:rsid w:val="00605BA0"/>
    <w:rsid w:val="00606373"/>
    <w:rsid w:val="006122C5"/>
    <w:rsid w:val="00613775"/>
    <w:rsid w:val="00617621"/>
    <w:rsid w:val="00621186"/>
    <w:rsid w:val="0062149E"/>
    <w:rsid w:val="00621F40"/>
    <w:rsid w:val="006224B9"/>
    <w:rsid w:val="00622E68"/>
    <w:rsid w:val="00622F27"/>
    <w:rsid w:val="00623E29"/>
    <w:rsid w:val="00624298"/>
    <w:rsid w:val="00624EAF"/>
    <w:rsid w:val="00625825"/>
    <w:rsid w:val="00625B3C"/>
    <w:rsid w:val="00632FB1"/>
    <w:rsid w:val="00633659"/>
    <w:rsid w:val="006361D9"/>
    <w:rsid w:val="00640771"/>
    <w:rsid w:val="006435B1"/>
    <w:rsid w:val="006447B2"/>
    <w:rsid w:val="00645075"/>
    <w:rsid w:val="006511B6"/>
    <w:rsid w:val="006514E7"/>
    <w:rsid w:val="0065471A"/>
    <w:rsid w:val="006561ED"/>
    <w:rsid w:val="006623BA"/>
    <w:rsid w:val="00662711"/>
    <w:rsid w:val="00662B96"/>
    <w:rsid w:val="006635C3"/>
    <w:rsid w:val="0066374C"/>
    <w:rsid w:val="00663D69"/>
    <w:rsid w:val="00664E0B"/>
    <w:rsid w:val="0066677D"/>
    <w:rsid w:val="00670C55"/>
    <w:rsid w:val="006722BF"/>
    <w:rsid w:val="0067328D"/>
    <w:rsid w:val="0067530D"/>
    <w:rsid w:val="006754BB"/>
    <w:rsid w:val="0068009A"/>
    <w:rsid w:val="006800C2"/>
    <w:rsid w:val="00683880"/>
    <w:rsid w:val="00683FB2"/>
    <w:rsid w:val="00684996"/>
    <w:rsid w:val="00687A8B"/>
    <w:rsid w:val="0069343D"/>
    <w:rsid w:val="006938D3"/>
    <w:rsid w:val="00693F20"/>
    <w:rsid w:val="00694AEB"/>
    <w:rsid w:val="00696845"/>
    <w:rsid w:val="00697F59"/>
    <w:rsid w:val="006A0323"/>
    <w:rsid w:val="006A08B2"/>
    <w:rsid w:val="006A13F4"/>
    <w:rsid w:val="006A1A3F"/>
    <w:rsid w:val="006A41D0"/>
    <w:rsid w:val="006A7C86"/>
    <w:rsid w:val="006B196F"/>
    <w:rsid w:val="006B1DCF"/>
    <w:rsid w:val="006B2619"/>
    <w:rsid w:val="006B2647"/>
    <w:rsid w:val="006C16D3"/>
    <w:rsid w:val="006C1DB9"/>
    <w:rsid w:val="006C3A07"/>
    <w:rsid w:val="006C445C"/>
    <w:rsid w:val="006D62FB"/>
    <w:rsid w:val="006E0B3E"/>
    <w:rsid w:val="006E0D57"/>
    <w:rsid w:val="006E16DB"/>
    <w:rsid w:val="006F04FF"/>
    <w:rsid w:val="006F5326"/>
    <w:rsid w:val="006F7856"/>
    <w:rsid w:val="00701925"/>
    <w:rsid w:val="00702100"/>
    <w:rsid w:val="0070225D"/>
    <w:rsid w:val="00702970"/>
    <w:rsid w:val="0070401E"/>
    <w:rsid w:val="007042C8"/>
    <w:rsid w:val="00710D22"/>
    <w:rsid w:val="007125F6"/>
    <w:rsid w:val="007135A4"/>
    <w:rsid w:val="00714DCC"/>
    <w:rsid w:val="00720AD3"/>
    <w:rsid w:val="00721518"/>
    <w:rsid w:val="007218A8"/>
    <w:rsid w:val="00724390"/>
    <w:rsid w:val="0072479A"/>
    <w:rsid w:val="00727690"/>
    <w:rsid w:val="0073165E"/>
    <w:rsid w:val="0073296A"/>
    <w:rsid w:val="007335DE"/>
    <w:rsid w:val="007337B7"/>
    <w:rsid w:val="00733982"/>
    <w:rsid w:val="0073594E"/>
    <w:rsid w:val="007401C9"/>
    <w:rsid w:val="0074081E"/>
    <w:rsid w:val="00742D7C"/>
    <w:rsid w:val="00747604"/>
    <w:rsid w:val="007522B4"/>
    <w:rsid w:val="00753D00"/>
    <w:rsid w:val="00754E9A"/>
    <w:rsid w:val="00756FCC"/>
    <w:rsid w:val="0075727D"/>
    <w:rsid w:val="00757FF7"/>
    <w:rsid w:val="007611E3"/>
    <w:rsid w:val="00761615"/>
    <w:rsid w:val="00764A8E"/>
    <w:rsid w:val="00770299"/>
    <w:rsid w:val="00770CCB"/>
    <w:rsid w:val="007717AF"/>
    <w:rsid w:val="007736C9"/>
    <w:rsid w:val="007742F4"/>
    <w:rsid w:val="00774382"/>
    <w:rsid w:val="007830C8"/>
    <w:rsid w:val="007846AA"/>
    <w:rsid w:val="0079259C"/>
    <w:rsid w:val="007939B6"/>
    <w:rsid w:val="00795E82"/>
    <w:rsid w:val="007967C8"/>
    <w:rsid w:val="00796A66"/>
    <w:rsid w:val="00796BFD"/>
    <w:rsid w:val="00796D69"/>
    <w:rsid w:val="007A18E6"/>
    <w:rsid w:val="007A360F"/>
    <w:rsid w:val="007B1501"/>
    <w:rsid w:val="007B2FF1"/>
    <w:rsid w:val="007B420C"/>
    <w:rsid w:val="007B47BE"/>
    <w:rsid w:val="007B4AFD"/>
    <w:rsid w:val="007C012E"/>
    <w:rsid w:val="007C0A26"/>
    <w:rsid w:val="007C4921"/>
    <w:rsid w:val="007C6C47"/>
    <w:rsid w:val="007D0ECF"/>
    <w:rsid w:val="007D3340"/>
    <w:rsid w:val="007D7A92"/>
    <w:rsid w:val="007E1BE8"/>
    <w:rsid w:val="007E2E8A"/>
    <w:rsid w:val="007E50C8"/>
    <w:rsid w:val="007E5397"/>
    <w:rsid w:val="007F141D"/>
    <w:rsid w:val="007F6AB1"/>
    <w:rsid w:val="007F787D"/>
    <w:rsid w:val="007F7DB8"/>
    <w:rsid w:val="00801E00"/>
    <w:rsid w:val="00801E72"/>
    <w:rsid w:val="00803327"/>
    <w:rsid w:val="00804D44"/>
    <w:rsid w:val="008071D2"/>
    <w:rsid w:val="00810ACF"/>
    <w:rsid w:val="00811A7C"/>
    <w:rsid w:val="008152DB"/>
    <w:rsid w:val="0081535C"/>
    <w:rsid w:val="00816B35"/>
    <w:rsid w:val="00817A6A"/>
    <w:rsid w:val="0082126B"/>
    <w:rsid w:val="00821E23"/>
    <w:rsid w:val="00822A74"/>
    <w:rsid w:val="00823C5D"/>
    <w:rsid w:val="00825F88"/>
    <w:rsid w:val="00826E85"/>
    <w:rsid w:val="00831F78"/>
    <w:rsid w:val="0083467C"/>
    <w:rsid w:val="00834AD6"/>
    <w:rsid w:val="008403AB"/>
    <w:rsid w:val="00841172"/>
    <w:rsid w:val="008429AB"/>
    <w:rsid w:val="00842BCE"/>
    <w:rsid w:val="00844940"/>
    <w:rsid w:val="00844D1C"/>
    <w:rsid w:val="00846692"/>
    <w:rsid w:val="00851D04"/>
    <w:rsid w:val="008532D8"/>
    <w:rsid w:val="00853653"/>
    <w:rsid w:val="0085462B"/>
    <w:rsid w:val="00854BC7"/>
    <w:rsid w:val="00857BBA"/>
    <w:rsid w:val="008601B8"/>
    <w:rsid w:val="00860A44"/>
    <w:rsid w:val="00865055"/>
    <w:rsid w:val="00870530"/>
    <w:rsid w:val="00871F98"/>
    <w:rsid w:val="00873B35"/>
    <w:rsid w:val="00876FDB"/>
    <w:rsid w:val="0088126B"/>
    <w:rsid w:val="008856DE"/>
    <w:rsid w:val="008863F5"/>
    <w:rsid w:val="00887083"/>
    <w:rsid w:val="008871CF"/>
    <w:rsid w:val="00887341"/>
    <w:rsid w:val="00891F77"/>
    <w:rsid w:val="00892447"/>
    <w:rsid w:val="00893F7A"/>
    <w:rsid w:val="008A0305"/>
    <w:rsid w:val="008A4F66"/>
    <w:rsid w:val="008A5BE9"/>
    <w:rsid w:val="008B0ADC"/>
    <w:rsid w:val="008B18F5"/>
    <w:rsid w:val="008B5585"/>
    <w:rsid w:val="008B63B6"/>
    <w:rsid w:val="008C1B0D"/>
    <w:rsid w:val="008C38E1"/>
    <w:rsid w:val="008C5B6D"/>
    <w:rsid w:val="008C7077"/>
    <w:rsid w:val="008C73E6"/>
    <w:rsid w:val="008D2C81"/>
    <w:rsid w:val="008D5BCB"/>
    <w:rsid w:val="008D5E30"/>
    <w:rsid w:val="008E6E81"/>
    <w:rsid w:val="008F05DD"/>
    <w:rsid w:val="008F3CA6"/>
    <w:rsid w:val="008F44E6"/>
    <w:rsid w:val="008F5F16"/>
    <w:rsid w:val="009032B9"/>
    <w:rsid w:val="00904E94"/>
    <w:rsid w:val="00917A99"/>
    <w:rsid w:val="009207E8"/>
    <w:rsid w:val="00921735"/>
    <w:rsid w:val="00921A8F"/>
    <w:rsid w:val="00922A9D"/>
    <w:rsid w:val="00924D8D"/>
    <w:rsid w:val="00926736"/>
    <w:rsid w:val="00931EBA"/>
    <w:rsid w:val="0093500E"/>
    <w:rsid w:val="00942D63"/>
    <w:rsid w:val="00943BEF"/>
    <w:rsid w:val="009544EE"/>
    <w:rsid w:val="009646FA"/>
    <w:rsid w:val="0096609F"/>
    <w:rsid w:val="0096706F"/>
    <w:rsid w:val="0097225F"/>
    <w:rsid w:val="00974336"/>
    <w:rsid w:val="00975AF1"/>
    <w:rsid w:val="009824EE"/>
    <w:rsid w:val="009826AE"/>
    <w:rsid w:val="009852A6"/>
    <w:rsid w:val="00987349"/>
    <w:rsid w:val="00992292"/>
    <w:rsid w:val="00993CAB"/>
    <w:rsid w:val="00996E61"/>
    <w:rsid w:val="009A09F7"/>
    <w:rsid w:val="009A13CD"/>
    <w:rsid w:val="009A3751"/>
    <w:rsid w:val="009A4CF1"/>
    <w:rsid w:val="009A4F44"/>
    <w:rsid w:val="009A5226"/>
    <w:rsid w:val="009A5A16"/>
    <w:rsid w:val="009A6E8C"/>
    <w:rsid w:val="009B3969"/>
    <w:rsid w:val="009B6501"/>
    <w:rsid w:val="009C05E3"/>
    <w:rsid w:val="009C364C"/>
    <w:rsid w:val="009C41F2"/>
    <w:rsid w:val="009C5134"/>
    <w:rsid w:val="009C6259"/>
    <w:rsid w:val="009C67E6"/>
    <w:rsid w:val="009D4726"/>
    <w:rsid w:val="009D4C88"/>
    <w:rsid w:val="009D53C9"/>
    <w:rsid w:val="009E5E2B"/>
    <w:rsid w:val="009F4B37"/>
    <w:rsid w:val="009F7B6D"/>
    <w:rsid w:val="00A00D56"/>
    <w:rsid w:val="00A00FB3"/>
    <w:rsid w:val="00A02410"/>
    <w:rsid w:val="00A02CF9"/>
    <w:rsid w:val="00A03E2D"/>
    <w:rsid w:val="00A04FCB"/>
    <w:rsid w:val="00A07714"/>
    <w:rsid w:val="00A10E39"/>
    <w:rsid w:val="00A13779"/>
    <w:rsid w:val="00A161E2"/>
    <w:rsid w:val="00A16680"/>
    <w:rsid w:val="00A1692C"/>
    <w:rsid w:val="00A20BDF"/>
    <w:rsid w:val="00A222A7"/>
    <w:rsid w:val="00A248BC"/>
    <w:rsid w:val="00A2499B"/>
    <w:rsid w:val="00A31D78"/>
    <w:rsid w:val="00A36A65"/>
    <w:rsid w:val="00A41BBF"/>
    <w:rsid w:val="00A50360"/>
    <w:rsid w:val="00A52E5B"/>
    <w:rsid w:val="00A52ECB"/>
    <w:rsid w:val="00A54647"/>
    <w:rsid w:val="00A62755"/>
    <w:rsid w:val="00A72B82"/>
    <w:rsid w:val="00A72FAC"/>
    <w:rsid w:val="00A741F9"/>
    <w:rsid w:val="00A7738B"/>
    <w:rsid w:val="00A7748C"/>
    <w:rsid w:val="00A845AF"/>
    <w:rsid w:val="00A84A3C"/>
    <w:rsid w:val="00A850B3"/>
    <w:rsid w:val="00A85F15"/>
    <w:rsid w:val="00A87457"/>
    <w:rsid w:val="00A93B50"/>
    <w:rsid w:val="00A93ED2"/>
    <w:rsid w:val="00A953AB"/>
    <w:rsid w:val="00A96EBE"/>
    <w:rsid w:val="00AA0749"/>
    <w:rsid w:val="00AA32BD"/>
    <w:rsid w:val="00AA5BF8"/>
    <w:rsid w:val="00AB6849"/>
    <w:rsid w:val="00AB7329"/>
    <w:rsid w:val="00AC09B9"/>
    <w:rsid w:val="00AC710F"/>
    <w:rsid w:val="00AD0980"/>
    <w:rsid w:val="00AD0EF2"/>
    <w:rsid w:val="00AD2129"/>
    <w:rsid w:val="00AD4482"/>
    <w:rsid w:val="00AD4E6C"/>
    <w:rsid w:val="00AD512E"/>
    <w:rsid w:val="00AD522D"/>
    <w:rsid w:val="00AD5672"/>
    <w:rsid w:val="00AE0DF7"/>
    <w:rsid w:val="00AE39ED"/>
    <w:rsid w:val="00AF11B0"/>
    <w:rsid w:val="00AF3201"/>
    <w:rsid w:val="00AF3F31"/>
    <w:rsid w:val="00AF5391"/>
    <w:rsid w:val="00AF65F5"/>
    <w:rsid w:val="00B03D38"/>
    <w:rsid w:val="00B0437E"/>
    <w:rsid w:val="00B04CD2"/>
    <w:rsid w:val="00B05B97"/>
    <w:rsid w:val="00B05D3B"/>
    <w:rsid w:val="00B06BF9"/>
    <w:rsid w:val="00B06EED"/>
    <w:rsid w:val="00B12575"/>
    <w:rsid w:val="00B13FAA"/>
    <w:rsid w:val="00B16D44"/>
    <w:rsid w:val="00B17DAE"/>
    <w:rsid w:val="00B211DC"/>
    <w:rsid w:val="00B22C9E"/>
    <w:rsid w:val="00B2580F"/>
    <w:rsid w:val="00B33026"/>
    <w:rsid w:val="00B350E8"/>
    <w:rsid w:val="00B360EE"/>
    <w:rsid w:val="00B40143"/>
    <w:rsid w:val="00B4096D"/>
    <w:rsid w:val="00B414E4"/>
    <w:rsid w:val="00B449E8"/>
    <w:rsid w:val="00B47370"/>
    <w:rsid w:val="00B50FD2"/>
    <w:rsid w:val="00B52FFC"/>
    <w:rsid w:val="00B55280"/>
    <w:rsid w:val="00B55667"/>
    <w:rsid w:val="00B55C7B"/>
    <w:rsid w:val="00B579C2"/>
    <w:rsid w:val="00B579E7"/>
    <w:rsid w:val="00B61520"/>
    <w:rsid w:val="00B65135"/>
    <w:rsid w:val="00B65B94"/>
    <w:rsid w:val="00B66329"/>
    <w:rsid w:val="00B66460"/>
    <w:rsid w:val="00B66FF4"/>
    <w:rsid w:val="00B67681"/>
    <w:rsid w:val="00B73A64"/>
    <w:rsid w:val="00B73DD8"/>
    <w:rsid w:val="00B74327"/>
    <w:rsid w:val="00B75841"/>
    <w:rsid w:val="00B80E18"/>
    <w:rsid w:val="00B81BD6"/>
    <w:rsid w:val="00B83633"/>
    <w:rsid w:val="00B911B2"/>
    <w:rsid w:val="00BA0719"/>
    <w:rsid w:val="00BA0A6F"/>
    <w:rsid w:val="00BA1646"/>
    <w:rsid w:val="00BA3131"/>
    <w:rsid w:val="00BA4FDA"/>
    <w:rsid w:val="00BA60FF"/>
    <w:rsid w:val="00BB5ABD"/>
    <w:rsid w:val="00BB638C"/>
    <w:rsid w:val="00BB689D"/>
    <w:rsid w:val="00BB7CB2"/>
    <w:rsid w:val="00BC0E6B"/>
    <w:rsid w:val="00BC2D91"/>
    <w:rsid w:val="00BC618F"/>
    <w:rsid w:val="00BC7B66"/>
    <w:rsid w:val="00BD26EA"/>
    <w:rsid w:val="00BD47FE"/>
    <w:rsid w:val="00BD66D8"/>
    <w:rsid w:val="00BD7973"/>
    <w:rsid w:val="00BE1830"/>
    <w:rsid w:val="00BE185C"/>
    <w:rsid w:val="00BE2D18"/>
    <w:rsid w:val="00BE37A1"/>
    <w:rsid w:val="00BE49DC"/>
    <w:rsid w:val="00BE6FA6"/>
    <w:rsid w:val="00BF0394"/>
    <w:rsid w:val="00BF106B"/>
    <w:rsid w:val="00BF276F"/>
    <w:rsid w:val="00BF5A78"/>
    <w:rsid w:val="00C000A1"/>
    <w:rsid w:val="00C00C05"/>
    <w:rsid w:val="00C03F25"/>
    <w:rsid w:val="00C04B3A"/>
    <w:rsid w:val="00C05C4A"/>
    <w:rsid w:val="00C06C11"/>
    <w:rsid w:val="00C0732E"/>
    <w:rsid w:val="00C111A0"/>
    <w:rsid w:val="00C13362"/>
    <w:rsid w:val="00C15053"/>
    <w:rsid w:val="00C16D8E"/>
    <w:rsid w:val="00C31AD5"/>
    <w:rsid w:val="00C37817"/>
    <w:rsid w:val="00C40399"/>
    <w:rsid w:val="00C40D2B"/>
    <w:rsid w:val="00C43496"/>
    <w:rsid w:val="00C43A1F"/>
    <w:rsid w:val="00C44CF6"/>
    <w:rsid w:val="00C45EFA"/>
    <w:rsid w:val="00C50268"/>
    <w:rsid w:val="00C53EB9"/>
    <w:rsid w:val="00C544C4"/>
    <w:rsid w:val="00C549CE"/>
    <w:rsid w:val="00C63E7E"/>
    <w:rsid w:val="00C665A1"/>
    <w:rsid w:val="00C743D1"/>
    <w:rsid w:val="00C749D0"/>
    <w:rsid w:val="00C805E7"/>
    <w:rsid w:val="00C81E9E"/>
    <w:rsid w:val="00C823E4"/>
    <w:rsid w:val="00C856BD"/>
    <w:rsid w:val="00C85A79"/>
    <w:rsid w:val="00C9475F"/>
    <w:rsid w:val="00C94BA2"/>
    <w:rsid w:val="00CA1028"/>
    <w:rsid w:val="00CA130E"/>
    <w:rsid w:val="00CA2AA4"/>
    <w:rsid w:val="00CA3839"/>
    <w:rsid w:val="00CA3F74"/>
    <w:rsid w:val="00CA6A14"/>
    <w:rsid w:val="00CB38CF"/>
    <w:rsid w:val="00CB521B"/>
    <w:rsid w:val="00CC1C1C"/>
    <w:rsid w:val="00CC30E7"/>
    <w:rsid w:val="00CC6769"/>
    <w:rsid w:val="00CD0B13"/>
    <w:rsid w:val="00CD0E44"/>
    <w:rsid w:val="00CD29C4"/>
    <w:rsid w:val="00CE5EF1"/>
    <w:rsid w:val="00CE732E"/>
    <w:rsid w:val="00CF0FDE"/>
    <w:rsid w:val="00CF4E2C"/>
    <w:rsid w:val="00CF5562"/>
    <w:rsid w:val="00CF5637"/>
    <w:rsid w:val="00CF72AC"/>
    <w:rsid w:val="00D0115A"/>
    <w:rsid w:val="00D10A76"/>
    <w:rsid w:val="00D12BB7"/>
    <w:rsid w:val="00D13C07"/>
    <w:rsid w:val="00D1525E"/>
    <w:rsid w:val="00D15492"/>
    <w:rsid w:val="00D305B9"/>
    <w:rsid w:val="00D34AD0"/>
    <w:rsid w:val="00D375C1"/>
    <w:rsid w:val="00D409C5"/>
    <w:rsid w:val="00D42C62"/>
    <w:rsid w:val="00D4352E"/>
    <w:rsid w:val="00D46AA3"/>
    <w:rsid w:val="00D5427C"/>
    <w:rsid w:val="00D64A63"/>
    <w:rsid w:val="00D660C8"/>
    <w:rsid w:val="00D70C42"/>
    <w:rsid w:val="00D70E3E"/>
    <w:rsid w:val="00D75838"/>
    <w:rsid w:val="00D81906"/>
    <w:rsid w:val="00D82E88"/>
    <w:rsid w:val="00D84475"/>
    <w:rsid w:val="00D84607"/>
    <w:rsid w:val="00D85DAD"/>
    <w:rsid w:val="00D90C96"/>
    <w:rsid w:val="00D916B0"/>
    <w:rsid w:val="00D92F42"/>
    <w:rsid w:val="00D934C7"/>
    <w:rsid w:val="00D9474A"/>
    <w:rsid w:val="00D94782"/>
    <w:rsid w:val="00D955F7"/>
    <w:rsid w:val="00DA21EE"/>
    <w:rsid w:val="00DA5BA5"/>
    <w:rsid w:val="00DA6F4B"/>
    <w:rsid w:val="00DA709E"/>
    <w:rsid w:val="00DB1E36"/>
    <w:rsid w:val="00DB2C7F"/>
    <w:rsid w:val="00DB2E18"/>
    <w:rsid w:val="00DB45C1"/>
    <w:rsid w:val="00DB4D43"/>
    <w:rsid w:val="00DC55C9"/>
    <w:rsid w:val="00DC6EC6"/>
    <w:rsid w:val="00DC7700"/>
    <w:rsid w:val="00DD0452"/>
    <w:rsid w:val="00DD2710"/>
    <w:rsid w:val="00DD279B"/>
    <w:rsid w:val="00DD3198"/>
    <w:rsid w:val="00DD3235"/>
    <w:rsid w:val="00DD3C86"/>
    <w:rsid w:val="00DD3F17"/>
    <w:rsid w:val="00DD42E7"/>
    <w:rsid w:val="00DD4B97"/>
    <w:rsid w:val="00DE2600"/>
    <w:rsid w:val="00DF013A"/>
    <w:rsid w:val="00DF150A"/>
    <w:rsid w:val="00DF46B0"/>
    <w:rsid w:val="00E02117"/>
    <w:rsid w:val="00E02474"/>
    <w:rsid w:val="00E0263A"/>
    <w:rsid w:val="00E03E01"/>
    <w:rsid w:val="00E10E9A"/>
    <w:rsid w:val="00E111C8"/>
    <w:rsid w:val="00E115B5"/>
    <w:rsid w:val="00E15140"/>
    <w:rsid w:val="00E22628"/>
    <w:rsid w:val="00E24434"/>
    <w:rsid w:val="00E24D50"/>
    <w:rsid w:val="00E25C58"/>
    <w:rsid w:val="00E35E71"/>
    <w:rsid w:val="00E360D0"/>
    <w:rsid w:val="00E36F27"/>
    <w:rsid w:val="00E45F62"/>
    <w:rsid w:val="00E47C5F"/>
    <w:rsid w:val="00E47F82"/>
    <w:rsid w:val="00E5204B"/>
    <w:rsid w:val="00E520C8"/>
    <w:rsid w:val="00E539F8"/>
    <w:rsid w:val="00E57BC8"/>
    <w:rsid w:val="00E60323"/>
    <w:rsid w:val="00E638C9"/>
    <w:rsid w:val="00E6648E"/>
    <w:rsid w:val="00E67485"/>
    <w:rsid w:val="00E84CF9"/>
    <w:rsid w:val="00E87F87"/>
    <w:rsid w:val="00E910B3"/>
    <w:rsid w:val="00E932B2"/>
    <w:rsid w:val="00EA7194"/>
    <w:rsid w:val="00EC0972"/>
    <w:rsid w:val="00EC0EF9"/>
    <w:rsid w:val="00EC34E4"/>
    <w:rsid w:val="00EC47B5"/>
    <w:rsid w:val="00EC50B5"/>
    <w:rsid w:val="00ED1148"/>
    <w:rsid w:val="00ED1B4C"/>
    <w:rsid w:val="00ED525B"/>
    <w:rsid w:val="00ED78CB"/>
    <w:rsid w:val="00EE15AF"/>
    <w:rsid w:val="00EE19A1"/>
    <w:rsid w:val="00EE3521"/>
    <w:rsid w:val="00EE436E"/>
    <w:rsid w:val="00EE462C"/>
    <w:rsid w:val="00EE5E47"/>
    <w:rsid w:val="00EF1440"/>
    <w:rsid w:val="00EF28A9"/>
    <w:rsid w:val="00EF478B"/>
    <w:rsid w:val="00EF4869"/>
    <w:rsid w:val="00EF5313"/>
    <w:rsid w:val="00EF53D5"/>
    <w:rsid w:val="00EF5A10"/>
    <w:rsid w:val="00EF605A"/>
    <w:rsid w:val="00EF6C34"/>
    <w:rsid w:val="00EF74E7"/>
    <w:rsid w:val="00EF7A35"/>
    <w:rsid w:val="00F0333C"/>
    <w:rsid w:val="00F04CEA"/>
    <w:rsid w:val="00F05BF6"/>
    <w:rsid w:val="00F05C9C"/>
    <w:rsid w:val="00F05D16"/>
    <w:rsid w:val="00F06596"/>
    <w:rsid w:val="00F06FFE"/>
    <w:rsid w:val="00F07CDF"/>
    <w:rsid w:val="00F106D2"/>
    <w:rsid w:val="00F15C8D"/>
    <w:rsid w:val="00F171D8"/>
    <w:rsid w:val="00F20E23"/>
    <w:rsid w:val="00F2298A"/>
    <w:rsid w:val="00F23633"/>
    <w:rsid w:val="00F250EA"/>
    <w:rsid w:val="00F300E2"/>
    <w:rsid w:val="00F30AE2"/>
    <w:rsid w:val="00F33125"/>
    <w:rsid w:val="00F35C03"/>
    <w:rsid w:val="00F35DDF"/>
    <w:rsid w:val="00F53CD9"/>
    <w:rsid w:val="00F54F81"/>
    <w:rsid w:val="00F555BA"/>
    <w:rsid w:val="00F578B9"/>
    <w:rsid w:val="00F60238"/>
    <w:rsid w:val="00F64E37"/>
    <w:rsid w:val="00F666FB"/>
    <w:rsid w:val="00F6736E"/>
    <w:rsid w:val="00F7533B"/>
    <w:rsid w:val="00F75BE3"/>
    <w:rsid w:val="00F75BF7"/>
    <w:rsid w:val="00F76C12"/>
    <w:rsid w:val="00F800F9"/>
    <w:rsid w:val="00F83D26"/>
    <w:rsid w:val="00F84541"/>
    <w:rsid w:val="00F92AC4"/>
    <w:rsid w:val="00F92D01"/>
    <w:rsid w:val="00F97153"/>
    <w:rsid w:val="00F97DB6"/>
    <w:rsid w:val="00FA0AE6"/>
    <w:rsid w:val="00FA312A"/>
    <w:rsid w:val="00FA6667"/>
    <w:rsid w:val="00FB162F"/>
    <w:rsid w:val="00FB219F"/>
    <w:rsid w:val="00FB314A"/>
    <w:rsid w:val="00FB457C"/>
    <w:rsid w:val="00FB4790"/>
    <w:rsid w:val="00FB4AC8"/>
    <w:rsid w:val="00FC26A7"/>
    <w:rsid w:val="00FC469A"/>
    <w:rsid w:val="00FE00BA"/>
    <w:rsid w:val="00FE0BF3"/>
    <w:rsid w:val="00FE22AC"/>
    <w:rsid w:val="00FE35EC"/>
    <w:rsid w:val="00FE397F"/>
    <w:rsid w:val="00FF1950"/>
    <w:rsid w:val="00FF1DFB"/>
    <w:rsid w:val="00FF2D45"/>
    <w:rsid w:val="00FF3C78"/>
    <w:rsid w:val="00FF4386"/>
    <w:rsid w:val="1B8E9BB7"/>
    <w:rsid w:val="2490EB2C"/>
    <w:rsid w:val="5D8A0D45"/>
    <w:rsid w:val="611E2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37CA786"/>
  <w15:docId w15:val="{8773E1D2-EFF6-4007-900A-A2B16AD4A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09"/>
    <w:pPr>
      <w:spacing w:after="200" w:line="276" w:lineRule="auto"/>
    </w:pPr>
    <w:rPr>
      <w:sz w:val="22"/>
      <w:szCs w:val="22"/>
      <w:lang w:eastAsia="en-US"/>
    </w:rPr>
  </w:style>
  <w:style w:type="paragraph" w:styleId="Titre1">
    <w:name w:val="heading 1"/>
    <w:basedOn w:val="Normal"/>
    <w:next w:val="Normal"/>
    <w:link w:val="Titre1Car"/>
    <w:uiPriority w:val="9"/>
    <w:qFormat/>
    <w:rsid w:val="00BD26E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4C4B19"/>
    <w:pPr>
      <w:keepNext/>
      <w:keepLines/>
      <w:tabs>
        <w:tab w:val="left" w:pos="1701"/>
        <w:tab w:val="center" w:pos="4536"/>
        <w:tab w:val="right" w:pos="9072"/>
      </w:tabs>
      <w:spacing w:after="0" w:line="240" w:lineRule="auto"/>
      <w:jc w:val="both"/>
      <w:outlineLvl w:val="1"/>
    </w:pPr>
    <w:rPr>
      <w:rFonts w:ascii="Century Gothic" w:eastAsia="Times New Roman" w:hAnsi="Century Gothic"/>
      <w:b/>
      <w:bCs/>
      <w:i/>
      <w:caps/>
      <w:color w:val="262626"/>
      <w:sz w:val="40"/>
      <w:szCs w:val="26"/>
    </w:rPr>
  </w:style>
  <w:style w:type="paragraph" w:styleId="Titre4">
    <w:name w:val="heading 4"/>
    <w:basedOn w:val="Normal"/>
    <w:next w:val="Normal"/>
    <w:link w:val="Titre4Car"/>
    <w:uiPriority w:val="9"/>
    <w:unhideWhenUsed/>
    <w:qFormat/>
    <w:rsid w:val="0001550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6A66"/>
    <w:pPr>
      <w:tabs>
        <w:tab w:val="center" w:pos="4536"/>
        <w:tab w:val="right" w:pos="9072"/>
      </w:tabs>
    </w:pPr>
  </w:style>
  <w:style w:type="character" w:customStyle="1" w:styleId="En-tteCar">
    <w:name w:val="En-tête Car"/>
    <w:link w:val="En-tte"/>
    <w:uiPriority w:val="99"/>
    <w:rsid w:val="00796A66"/>
    <w:rPr>
      <w:sz w:val="22"/>
      <w:szCs w:val="22"/>
      <w:lang w:eastAsia="en-US"/>
    </w:rPr>
  </w:style>
  <w:style w:type="paragraph" w:styleId="Pieddepage">
    <w:name w:val="footer"/>
    <w:basedOn w:val="Normal"/>
    <w:link w:val="PieddepageCar"/>
    <w:uiPriority w:val="99"/>
    <w:unhideWhenUsed/>
    <w:rsid w:val="00796A66"/>
    <w:pPr>
      <w:tabs>
        <w:tab w:val="center" w:pos="4536"/>
        <w:tab w:val="right" w:pos="9072"/>
      </w:tabs>
    </w:pPr>
  </w:style>
  <w:style w:type="character" w:customStyle="1" w:styleId="PieddepageCar">
    <w:name w:val="Pied de page Car"/>
    <w:link w:val="Pieddepage"/>
    <w:uiPriority w:val="99"/>
    <w:rsid w:val="00796A66"/>
    <w:rPr>
      <w:sz w:val="22"/>
      <w:szCs w:val="22"/>
      <w:lang w:eastAsia="en-US"/>
    </w:rPr>
  </w:style>
  <w:style w:type="paragraph" w:customStyle="1" w:styleId="FSE-En-tte">
    <w:name w:val="FSE-En-tête"/>
    <w:basedOn w:val="En-tte"/>
    <w:autoRedefine/>
    <w:qFormat/>
    <w:rsid w:val="00796A66"/>
    <w:pPr>
      <w:pBdr>
        <w:bottom w:val="single" w:sz="8" w:space="4" w:color="595959"/>
      </w:pBdr>
      <w:spacing w:after="120" w:line="240" w:lineRule="auto"/>
      <w:jc w:val="both"/>
    </w:pPr>
    <w:rPr>
      <w:rFonts w:ascii="Gulim" w:hAnsi="Gulim"/>
      <w:color w:val="943634"/>
      <w:sz w:val="20"/>
    </w:rPr>
  </w:style>
  <w:style w:type="character" w:customStyle="1" w:styleId="Titre2Car">
    <w:name w:val="Titre 2 Car"/>
    <w:link w:val="Titre2"/>
    <w:uiPriority w:val="9"/>
    <w:rsid w:val="004C4B19"/>
    <w:rPr>
      <w:rFonts w:ascii="Century Gothic" w:eastAsia="Times New Roman" w:hAnsi="Century Gothic"/>
      <w:b/>
      <w:bCs/>
      <w:i/>
      <w:caps/>
      <w:color w:val="262626"/>
      <w:sz w:val="40"/>
      <w:szCs w:val="26"/>
      <w:lang w:eastAsia="en-US"/>
    </w:rPr>
  </w:style>
  <w:style w:type="paragraph" w:customStyle="1" w:styleId="FSE-Sous-titresniv2Fiches">
    <w:name w:val="FSE-Sous-titres niv2 Fiches"/>
    <w:basedOn w:val="Paragraphedeliste"/>
    <w:qFormat/>
    <w:rsid w:val="006435B1"/>
    <w:pPr>
      <w:spacing w:before="360" w:after="240" w:line="240" w:lineRule="auto"/>
      <w:ind w:left="0"/>
      <w:contextualSpacing/>
      <w:jc w:val="both"/>
    </w:pPr>
    <w:rPr>
      <w:rFonts w:ascii="Franklin Gothic Book" w:hAnsi="Franklin Gothic Book"/>
      <w:b/>
      <w:i/>
      <w:color w:val="0070C0"/>
      <w:sz w:val="32"/>
      <w:szCs w:val="28"/>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796A66"/>
    <w:pPr>
      <w:ind w:left="708"/>
    </w:pPr>
  </w:style>
  <w:style w:type="paragraph" w:customStyle="1" w:styleId="FSE-Modedemploi">
    <w:name w:val="FSE- Mode d'emploi"/>
    <w:basedOn w:val="Normal"/>
    <w:qFormat/>
    <w:rsid w:val="00C544C4"/>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hAnsi="Franklin Gothic Book"/>
      <w:sz w:val="20"/>
    </w:rPr>
  </w:style>
  <w:style w:type="paragraph" w:customStyle="1" w:styleId="FSE-Normal">
    <w:name w:val="FSE-Normal"/>
    <w:basedOn w:val="Normal"/>
    <w:link w:val="FSE-NormalCar"/>
    <w:qFormat/>
    <w:rsid w:val="00796A66"/>
    <w:pPr>
      <w:shd w:val="clear" w:color="auto" w:fill="FFFFFF"/>
      <w:spacing w:before="60" w:after="60" w:line="240" w:lineRule="auto"/>
      <w:jc w:val="both"/>
    </w:pPr>
    <w:rPr>
      <w:rFonts w:ascii="Verdana" w:hAnsi="Verdana"/>
      <w:color w:val="404040"/>
      <w:sz w:val="16"/>
    </w:rPr>
  </w:style>
  <w:style w:type="character" w:styleId="Marquedecommentaire">
    <w:name w:val="annotation reference"/>
    <w:uiPriority w:val="99"/>
    <w:semiHidden/>
    <w:unhideWhenUsed/>
    <w:rsid w:val="00291700"/>
    <w:rPr>
      <w:sz w:val="16"/>
      <w:szCs w:val="16"/>
    </w:rPr>
  </w:style>
  <w:style w:type="paragraph" w:styleId="Commentaire">
    <w:name w:val="annotation text"/>
    <w:basedOn w:val="Normal"/>
    <w:link w:val="CommentaireCar"/>
    <w:uiPriority w:val="99"/>
    <w:unhideWhenUsed/>
    <w:rsid w:val="00291700"/>
    <w:rPr>
      <w:sz w:val="20"/>
      <w:szCs w:val="20"/>
    </w:rPr>
  </w:style>
  <w:style w:type="character" w:customStyle="1" w:styleId="CommentaireCar">
    <w:name w:val="Commentaire Car"/>
    <w:link w:val="Commentaire"/>
    <w:uiPriority w:val="99"/>
    <w:rsid w:val="00291700"/>
    <w:rPr>
      <w:lang w:eastAsia="en-US"/>
    </w:rPr>
  </w:style>
  <w:style w:type="paragraph" w:styleId="Objetducommentaire">
    <w:name w:val="annotation subject"/>
    <w:basedOn w:val="Commentaire"/>
    <w:next w:val="Commentaire"/>
    <w:link w:val="ObjetducommentaireCar"/>
    <w:uiPriority w:val="99"/>
    <w:semiHidden/>
    <w:unhideWhenUsed/>
    <w:rsid w:val="00291700"/>
    <w:rPr>
      <w:b/>
      <w:bCs/>
    </w:rPr>
  </w:style>
  <w:style w:type="character" w:customStyle="1" w:styleId="ObjetducommentaireCar">
    <w:name w:val="Objet du commentaire Car"/>
    <w:link w:val="Objetducommentaire"/>
    <w:uiPriority w:val="99"/>
    <w:semiHidden/>
    <w:rsid w:val="00291700"/>
    <w:rPr>
      <w:b/>
      <w:bCs/>
      <w:lang w:eastAsia="en-US"/>
    </w:rPr>
  </w:style>
  <w:style w:type="paragraph" w:styleId="Textedebulles">
    <w:name w:val="Balloon Text"/>
    <w:basedOn w:val="Normal"/>
    <w:link w:val="TextedebullesCar"/>
    <w:uiPriority w:val="99"/>
    <w:semiHidden/>
    <w:unhideWhenUsed/>
    <w:rsid w:val="0029170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91700"/>
    <w:rPr>
      <w:rFonts w:ascii="Tahoma" w:hAnsi="Tahoma" w:cs="Tahoma"/>
      <w:sz w:val="16"/>
      <w:szCs w:val="16"/>
      <w:lang w:eastAsia="en-US"/>
    </w:rPr>
  </w:style>
  <w:style w:type="table" w:styleId="Grilledutableau">
    <w:name w:val="Table Grid"/>
    <w:basedOn w:val="TableauNormal"/>
    <w:uiPriority w:val="59"/>
    <w:rsid w:val="003C6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Fichelistedroitetableau">
    <w:name w:val="FSE-Fiche liste droite tableau"/>
    <w:basedOn w:val="Paragraphedeliste"/>
    <w:qFormat/>
    <w:rsid w:val="003C65E5"/>
    <w:pPr>
      <w:numPr>
        <w:numId w:val="1"/>
      </w:numPr>
      <w:spacing w:before="120" w:after="120" w:line="240" w:lineRule="auto"/>
      <w:jc w:val="both"/>
    </w:pPr>
    <w:rPr>
      <w:rFonts w:ascii="Verdana" w:hAnsi="Verdana" w:cs="Calibri"/>
      <w:color w:val="595959"/>
      <w:sz w:val="16"/>
      <w:szCs w:val="20"/>
    </w:rPr>
  </w:style>
  <w:style w:type="paragraph" w:customStyle="1" w:styleId="FSE-Titretableaugauche">
    <w:name w:val="FSE-Titre tableau gauche"/>
    <w:basedOn w:val="Normal"/>
    <w:qFormat/>
    <w:rsid w:val="003C65E5"/>
    <w:pPr>
      <w:spacing w:before="120" w:after="120" w:line="240" w:lineRule="auto"/>
      <w:jc w:val="center"/>
    </w:pPr>
    <w:rPr>
      <w:rFonts w:ascii="Verdana" w:eastAsia="Times New Roman" w:hAnsi="Verdana"/>
      <w:b/>
      <w:bCs/>
      <w:i/>
      <w:iCs/>
      <w:color w:val="595959"/>
      <w:sz w:val="16"/>
      <w:szCs w:val="20"/>
    </w:rPr>
  </w:style>
  <w:style w:type="paragraph" w:customStyle="1" w:styleId="Textesansencadr">
    <w:name w:val="Texte sans encadré"/>
    <w:basedOn w:val="Normal"/>
    <w:link w:val="TextesansencadrCar"/>
    <w:qFormat/>
    <w:rsid w:val="00F54F81"/>
    <w:pPr>
      <w:shd w:val="clear" w:color="auto" w:fill="FFFFFF"/>
      <w:spacing w:before="60" w:after="360" w:line="240" w:lineRule="auto"/>
      <w:jc w:val="both"/>
    </w:pPr>
    <w:rPr>
      <w:rFonts w:ascii="Franklin Gothic Book" w:hAnsi="Franklin Gothic Book"/>
      <w:color w:val="404040"/>
      <w:sz w:val="18"/>
      <w:szCs w:val="16"/>
    </w:rPr>
  </w:style>
  <w:style w:type="paragraph" w:customStyle="1" w:styleId="texteavecbulletpoint">
    <w:name w:val="texte avec bulletpoint"/>
    <w:basedOn w:val="FSE-Normal"/>
    <w:link w:val="texteavecbulletpointCar"/>
    <w:qFormat/>
    <w:rsid w:val="006435B1"/>
    <w:pPr>
      <w:numPr>
        <w:numId w:val="2"/>
      </w:numPr>
    </w:pPr>
    <w:rPr>
      <w:rFonts w:ascii="Franklin Gothic Book" w:hAnsi="Franklin Gothic Book"/>
      <w:sz w:val="20"/>
    </w:rPr>
  </w:style>
  <w:style w:type="character" w:customStyle="1" w:styleId="TextesansencadrCar">
    <w:name w:val="Texte sans encadré Car"/>
    <w:link w:val="Textesansencadr"/>
    <w:rsid w:val="00F54F81"/>
    <w:rPr>
      <w:rFonts w:ascii="Franklin Gothic Book" w:hAnsi="Franklin Gothic Book"/>
      <w:color w:val="404040"/>
      <w:sz w:val="18"/>
      <w:szCs w:val="16"/>
      <w:shd w:val="clear" w:color="auto" w:fill="FFFFFF"/>
      <w:lang w:eastAsia="en-US"/>
    </w:rPr>
  </w:style>
  <w:style w:type="paragraph" w:customStyle="1" w:styleId="Titre1police12">
    <w:name w:val="Titre 1 police 12"/>
    <w:basedOn w:val="Textesansencadr"/>
    <w:link w:val="Titre1police12Car"/>
    <w:qFormat/>
    <w:rsid w:val="00BA0A6F"/>
    <w:pPr>
      <w:numPr>
        <w:numId w:val="3"/>
      </w:numPr>
    </w:pPr>
    <w:rPr>
      <w:sz w:val="24"/>
    </w:rPr>
  </w:style>
  <w:style w:type="character" w:customStyle="1" w:styleId="FSE-NormalCar">
    <w:name w:val="FSE-Normal Car"/>
    <w:link w:val="FSE-Normal"/>
    <w:rsid w:val="00187B2C"/>
    <w:rPr>
      <w:rFonts w:ascii="Verdana" w:hAnsi="Verdana"/>
      <w:color w:val="404040"/>
      <w:sz w:val="16"/>
      <w:szCs w:val="22"/>
      <w:shd w:val="clear" w:color="auto" w:fill="FFFFFF"/>
      <w:lang w:eastAsia="en-US"/>
    </w:rPr>
  </w:style>
  <w:style w:type="character" w:customStyle="1" w:styleId="texteavecbulletpointCar">
    <w:name w:val="texte avec bulletpoint Car"/>
    <w:link w:val="texteavecbulletpoint"/>
    <w:rsid w:val="006435B1"/>
    <w:rPr>
      <w:rFonts w:ascii="Franklin Gothic Book" w:hAnsi="Franklin Gothic Book"/>
      <w:color w:val="404040"/>
      <w:szCs w:val="22"/>
      <w:shd w:val="clear" w:color="auto" w:fill="FFFFFF"/>
      <w:lang w:eastAsia="en-US"/>
    </w:rPr>
  </w:style>
  <w:style w:type="paragraph" w:customStyle="1" w:styleId="Titre2police11">
    <w:name w:val="Titre 2 police 11"/>
    <w:basedOn w:val="Textesansencadr"/>
    <w:link w:val="Titre2police11Car"/>
    <w:qFormat/>
    <w:rsid w:val="00F54F81"/>
    <w:pPr>
      <w:numPr>
        <w:numId w:val="4"/>
      </w:numPr>
    </w:pPr>
    <w:rPr>
      <w:sz w:val="22"/>
    </w:rPr>
  </w:style>
  <w:style w:type="character" w:customStyle="1" w:styleId="Titre1police12Car">
    <w:name w:val="Titre 1 police 12 Car"/>
    <w:link w:val="Titre1police12"/>
    <w:rsid w:val="00BA0A6F"/>
    <w:rPr>
      <w:rFonts w:ascii="Franklin Gothic Book" w:hAnsi="Franklin Gothic Book"/>
      <w:color w:val="404040"/>
      <w:sz w:val="24"/>
      <w:szCs w:val="16"/>
      <w:shd w:val="clear" w:color="auto" w:fill="FFFFFF"/>
      <w:lang w:eastAsia="en-US"/>
    </w:rPr>
  </w:style>
  <w:style w:type="paragraph" w:customStyle="1" w:styleId="Titre3police10">
    <w:name w:val="Titre 3 police 10"/>
    <w:basedOn w:val="Textesansencadr"/>
    <w:link w:val="Titre3police10Car"/>
    <w:qFormat/>
    <w:rsid w:val="00F54F81"/>
    <w:pPr>
      <w:numPr>
        <w:numId w:val="5"/>
      </w:numPr>
    </w:pPr>
    <w:rPr>
      <w:sz w:val="20"/>
    </w:rPr>
  </w:style>
  <w:style w:type="character" w:customStyle="1" w:styleId="Titre2police11Car">
    <w:name w:val="Titre 2 police 11 Car"/>
    <w:link w:val="Titre2police11"/>
    <w:rsid w:val="00F54F81"/>
    <w:rPr>
      <w:rFonts w:ascii="Franklin Gothic Book" w:hAnsi="Franklin Gothic Book"/>
      <w:color w:val="404040"/>
      <w:sz w:val="22"/>
      <w:szCs w:val="16"/>
      <w:shd w:val="clear" w:color="auto" w:fill="FFFFFF"/>
      <w:lang w:eastAsia="en-US"/>
    </w:rPr>
  </w:style>
  <w:style w:type="paragraph" w:customStyle="1" w:styleId="Titre4police9">
    <w:name w:val="Titre 4 police 9"/>
    <w:basedOn w:val="Textesansencadr"/>
    <w:link w:val="Titre4police9Car"/>
    <w:qFormat/>
    <w:rsid w:val="00893F7A"/>
    <w:pPr>
      <w:numPr>
        <w:numId w:val="6"/>
      </w:numPr>
    </w:pPr>
  </w:style>
  <w:style w:type="character" w:customStyle="1" w:styleId="Titre3police10Car">
    <w:name w:val="Titre 3 police 10 Car"/>
    <w:basedOn w:val="TextesansencadrCar"/>
    <w:link w:val="Titre3police10"/>
    <w:rsid w:val="00F54F81"/>
    <w:rPr>
      <w:rFonts w:ascii="Franklin Gothic Book" w:hAnsi="Franklin Gothic Book"/>
      <w:color w:val="404040"/>
      <w:sz w:val="18"/>
      <w:szCs w:val="16"/>
      <w:shd w:val="clear" w:color="auto" w:fill="FFFFFF"/>
      <w:lang w:eastAsia="en-US"/>
    </w:rPr>
  </w:style>
  <w:style w:type="paragraph" w:customStyle="1" w:styleId="Style1">
    <w:name w:val="Style1"/>
    <w:basedOn w:val="Titre2"/>
    <w:link w:val="Style1Car"/>
    <w:qFormat/>
    <w:rsid w:val="00D82E88"/>
    <w:pPr>
      <w:pBdr>
        <w:top w:val="single" w:sz="24" w:space="1" w:color="002060"/>
        <w:left w:val="single" w:sz="24" w:space="4" w:color="002060"/>
        <w:bottom w:val="single" w:sz="24" w:space="1" w:color="002060"/>
        <w:right w:val="single" w:sz="24" w:space="4" w:color="002060"/>
      </w:pBdr>
      <w:shd w:val="clear" w:color="auto" w:fill="00B0F0"/>
      <w:jc w:val="center"/>
    </w:pPr>
    <w:rPr>
      <w:color w:val="FFFFFF"/>
    </w:rPr>
  </w:style>
  <w:style w:type="character" w:customStyle="1" w:styleId="Titre4police9Car">
    <w:name w:val="Titre 4 police 9 Car"/>
    <w:basedOn w:val="TextesansencadrCar"/>
    <w:link w:val="Titre4police9"/>
    <w:rsid w:val="00893F7A"/>
    <w:rPr>
      <w:rFonts w:ascii="Franklin Gothic Book" w:hAnsi="Franklin Gothic Book"/>
      <w:color w:val="404040"/>
      <w:sz w:val="18"/>
      <w:szCs w:val="16"/>
      <w:shd w:val="clear" w:color="auto" w:fill="FFFFFF"/>
      <w:lang w:eastAsia="en-US"/>
    </w:rPr>
  </w:style>
  <w:style w:type="character" w:styleId="Lienhypertexte">
    <w:name w:val="Hyperlink"/>
    <w:uiPriority w:val="99"/>
    <w:unhideWhenUsed/>
    <w:rsid w:val="00C85A79"/>
    <w:rPr>
      <w:color w:val="0000FF"/>
      <w:u w:val="single"/>
    </w:rPr>
  </w:style>
  <w:style w:type="character" w:customStyle="1" w:styleId="Style1Car">
    <w:name w:val="Style1 Car"/>
    <w:link w:val="Style1"/>
    <w:rsid w:val="00D82E88"/>
    <w:rPr>
      <w:rFonts w:ascii="Century Gothic" w:eastAsia="Times New Roman" w:hAnsi="Century Gothic"/>
      <w:b/>
      <w:bCs/>
      <w:i/>
      <w:caps/>
      <w:color w:val="FFFFFF"/>
      <w:sz w:val="40"/>
      <w:szCs w:val="26"/>
      <w:shd w:val="clear" w:color="auto" w:fill="00B0F0"/>
      <w:lang w:eastAsia="en-US"/>
    </w:rPr>
  </w:style>
  <w:style w:type="character" w:customStyle="1" w:styleId="Titre1Car">
    <w:name w:val="Titre 1 Car"/>
    <w:link w:val="Titre1"/>
    <w:uiPriority w:val="9"/>
    <w:rsid w:val="00BD26EA"/>
    <w:rPr>
      <w:rFonts w:ascii="Cambria" w:eastAsia="Times New Roman" w:hAnsi="Cambria" w:cs="Times New Roman"/>
      <w:b/>
      <w:bCs/>
      <w:kern w:val="32"/>
      <w:sz w:val="32"/>
      <w:szCs w:val="32"/>
      <w:lang w:eastAsia="en-US"/>
    </w:rPr>
  </w:style>
  <w:style w:type="character" w:styleId="Lienhypertextesuivivisit">
    <w:name w:val="FollowedHyperlink"/>
    <w:uiPriority w:val="99"/>
    <w:semiHidden/>
    <w:unhideWhenUsed/>
    <w:rsid w:val="00091FFA"/>
    <w:rPr>
      <w:color w:val="800080"/>
      <w:u w:val="single"/>
    </w:rPr>
  </w:style>
  <w:style w:type="paragraph" w:customStyle="1" w:styleId="FSE-Fichelistegauchetableau">
    <w:name w:val="FSE-Fiche liste gauche tableau"/>
    <w:basedOn w:val="Paragraphedeliste"/>
    <w:qFormat/>
    <w:rsid w:val="00EF605A"/>
    <w:pPr>
      <w:spacing w:before="120" w:after="120" w:line="240" w:lineRule="auto"/>
      <w:ind w:left="357" w:hanging="357"/>
      <w:jc w:val="both"/>
    </w:pPr>
    <w:rPr>
      <w:rFonts w:ascii="Verdana" w:hAnsi="Verdana"/>
      <w:color w:val="595959"/>
      <w:sz w:val="16"/>
      <w:szCs w:val="20"/>
    </w:rPr>
  </w:style>
  <w:style w:type="character" w:styleId="Textedelespacerserv">
    <w:name w:val="Placeholder Text"/>
    <w:basedOn w:val="Policepardfaut"/>
    <w:uiPriority w:val="99"/>
    <w:semiHidden/>
    <w:rsid w:val="00FB162F"/>
    <w:rPr>
      <w:color w:val="808080"/>
    </w:rPr>
  </w:style>
  <w:style w:type="paragraph" w:styleId="Rvision">
    <w:name w:val="Revision"/>
    <w:hidden/>
    <w:uiPriority w:val="99"/>
    <w:semiHidden/>
    <w:rsid w:val="00C15053"/>
    <w:rPr>
      <w:sz w:val="22"/>
      <w:szCs w:val="22"/>
      <w:lang w:eastAsia="en-US"/>
    </w:rPr>
  </w:style>
  <w:style w:type="paragraph" w:customStyle="1" w:styleId="Default">
    <w:name w:val="Default"/>
    <w:rsid w:val="0030020D"/>
    <w:pPr>
      <w:autoSpaceDE w:val="0"/>
      <w:autoSpaceDN w:val="0"/>
      <w:adjustRightInd w:val="0"/>
    </w:pPr>
    <w:rPr>
      <w:rFonts w:cs="Calibri"/>
      <w:color w:val="000000"/>
      <w:sz w:val="24"/>
      <w:szCs w:val="24"/>
    </w:rPr>
  </w:style>
  <w:style w:type="character" w:styleId="Mentionnonrsolue">
    <w:name w:val="Unresolved Mention"/>
    <w:basedOn w:val="Policepardfaut"/>
    <w:uiPriority w:val="99"/>
    <w:semiHidden/>
    <w:unhideWhenUsed/>
    <w:rsid w:val="005B56D9"/>
    <w:rPr>
      <w:color w:val="605E5C"/>
      <w:shd w:val="clear" w:color="auto" w:fill="E1DFDD"/>
    </w:rPr>
  </w:style>
  <w:style w:type="paragraph" w:styleId="Notedebasdepage">
    <w:name w:val="footnote text"/>
    <w:basedOn w:val="Normal"/>
    <w:link w:val="NotedebasdepageCar"/>
    <w:unhideWhenUsed/>
    <w:rsid w:val="00714DCC"/>
    <w:rPr>
      <w:sz w:val="20"/>
      <w:szCs w:val="20"/>
    </w:rPr>
  </w:style>
  <w:style w:type="character" w:customStyle="1" w:styleId="NotedebasdepageCar">
    <w:name w:val="Note de bas de page Car"/>
    <w:basedOn w:val="Policepardfaut"/>
    <w:link w:val="Notedebasdepage"/>
    <w:rsid w:val="00714DCC"/>
    <w:rPr>
      <w:lang w:eastAsia="en-US"/>
    </w:rPr>
  </w:style>
  <w:style w:type="character" w:styleId="Appelnotedebasdep">
    <w:name w:val="footnote reference"/>
    <w:unhideWhenUsed/>
    <w:rsid w:val="00714DCC"/>
    <w:rPr>
      <w:vertAlign w:val="superscript"/>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50794C"/>
    <w:rPr>
      <w:sz w:val="22"/>
      <w:szCs w:val="22"/>
      <w:lang w:eastAsia="en-US"/>
    </w:rPr>
  </w:style>
  <w:style w:type="character" w:customStyle="1" w:styleId="normaltextrun">
    <w:name w:val="normaltextrun"/>
    <w:basedOn w:val="Policepardfaut"/>
    <w:rsid w:val="00A13779"/>
  </w:style>
  <w:style w:type="character" w:customStyle="1" w:styleId="eop">
    <w:name w:val="eop"/>
    <w:basedOn w:val="Policepardfaut"/>
    <w:rsid w:val="00A13779"/>
  </w:style>
  <w:style w:type="paragraph" w:customStyle="1" w:styleId="Standard">
    <w:name w:val="Standard"/>
    <w:rsid w:val="00904E94"/>
    <w:pPr>
      <w:tabs>
        <w:tab w:val="left" w:pos="708"/>
      </w:tabs>
      <w:suppressAutoHyphens/>
    </w:pPr>
    <w:rPr>
      <w:rFonts w:ascii="Times New Roman" w:eastAsia="Times New Roman" w:hAnsi="Times New Roman"/>
      <w:sz w:val="24"/>
      <w:szCs w:val="24"/>
    </w:rPr>
  </w:style>
  <w:style w:type="paragraph" w:styleId="NormalWeb">
    <w:name w:val="Normal (Web)"/>
    <w:basedOn w:val="Normal"/>
    <w:uiPriority w:val="99"/>
    <w:unhideWhenUsed/>
    <w:rsid w:val="00441B73"/>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uiPriority w:val="99"/>
    <w:semiHidden/>
    <w:unhideWhenUsed/>
    <w:rsid w:val="002851AB"/>
    <w:pPr>
      <w:spacing w:after="0" w:line="240" w:lineRule="auto"/>
    </w:pPr>
    <w:rPr>
      <w:sz w:val="20"/>
      <w:szCs w:val="20"/>
    </w:rPr>
  </w:style>
  <w:style w:type="character" w:customStyle="1" w:styleId="NotedefinCar">
    <w:name w:val="Note de fin Car"/>
    <w:basedOn w:val="Policepardfaut"/>
    <w:link w:val="Notedefin"/>
    <w:uiPriority w:val="99"/>
    <w:semiHidden/>
    <w:rsid w:val="002851AB"/>
    <w:rPr>
      <w:lang w:eastAsia="en-US"/>
    </w:rPr>
  </w:style>
  <w:style w:type="character" w:styleId="Appeldenotedefin">
    <w:name w:val="endnote reference"/>
    <w:basedOn w:val="Policepardfaut"/>
    <w:uiPriority w:val="99"/>
    <w:semiHidden/>
    <w:unhideWhenUsed/>
    <w:rsid w:val="002851AB"/>
    <w:rPr>
      <w:vertAlign w:val="superscript"/>
    </w:rPr>
  </w:style>
  <w:style w:type="character" w:customStyle="1" w:styleId="Titre4Car">
    <w:name w:val="Titre 4 Car"/>
    <w:basedOn w:val="Policepardfaut"/>
    <w:link w:val="Titre4"/>
    <w:uiPriority w:val="9"/>
    <w:rsid w:val="00015503"/>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7978">
      <w:bodyDiv w:val="1"/>
      <w:marLeft w:val="0"/>
      <w:marRight w:val="0"/>
      <w:marTop w:val="0"/>
      <w:marBottom w:val="0"/>
      <w:divBdr>
        <w:top w:val="none" w:sz="0" w:space="0" w:color="auto"/>
        <w:left w:val="none" w:sz="0" w:space="0" w:color="auto"/>
        <w:bottom w:val="none" w:sz="0" w:space="0" w:color="auto"/>
        <w:right w:val="none" w:sz="0" w:space="0" w:color="auto"/>
      </w:divBdr>
    </w:div>
    <w:div w:id="61418722">
      <w:bodyDiv w:val="1"/>
      <w:marLeft w:val="0"/>
      <w:marRight w:val="0"/>
      <w:marTop w:val="0"/>
      <w:marBottom w:val="0"/>
      <w:divBdr>
        <w:top w:val="none" w:sz="0" w:space="0" w:color="auto"/>
        <w:left w:val="none" w:sz="0" w:space="0" w:color="auto"/>
        <w:bottom w:val="none" w:sz="0" w:space="0" w:color="auto"/>
        <w:right w:val="none" w:sz="0" w:space="0" w:color="auto"/>
      </w:divBdr>
    </w:div>
    <w:div w:id="134568174">
      <w:bodyDiv w:val="1"/>
      <w:marLeft w:val="0"/>
      <w:marRight w:val="0"/>
      <w:marTop w:val="0"/>
      <w:marBottom w:val="0"/>
      <w:divBdr>
        <w:top w:val="none" w:sz="0" w:space="0" w:color="auto"/>
        <w:left w:val="none" w:sz="0" w:space="0" w:color="auto"/>
        <w:bottom w:val="none" w:sz="0" w:space="0" w:color="auto"/>
        <w:right w:val="none" w:sz="0" w:space="0" w:color="auto"/>
      </w:divBdr>
    </w:div>
    <w:div w:id="153180890">
      <w:bodyDiv w:val="1"/>
      <w:marLeft w:val="0"/>
      <w:marRight w:val="0"/>
      <w:marTop w:val="0"/>
      <w:marBottom w:val="0"/>
      <w:divBdr>
        <w:top w:val="none" w:sz="0" w:space="0" w:color="auto"/>
        <w:left w:val="none" w:sz="0" w:space="0" w:color="auto"/>
        <w:bottom w:val="none" w:sz="0" w:space="0" w:color="auto"/>
        <w:right w:val="none" w:sz="0" w:space="0" w:color="auto"/>
      </w:divBdr>
    </w:div>
    <w:div w:id="197861584">
      <w:bodyDiv w:val="1"/>
      <w:marLeft w:val="0"/>
      <w:marRight w:val="0"/>
      <w:marTop w:val="0"/>
      <w:marBottom w:val="0"/>
      <w:divBdr>
        <w:top w:val="none" w:sz="0" w:space="0" w:color="auto"/>
        <w:left w:val="none" w:sz="0" w:space="0" w:color="auto"/>
        <w:bottom w:val="none" w:sz="0" w:space="0" w:color="auto"/>
        <w:right w:val="none" w:sz="0" w:space="0" w:color="auto"/>
      </w:divBdr>
      <w:divsChild>
        <w:div w:id="334841424">
          <w:marLeft w:val="0"/>
          <w:marRight w:val="0"/>
          <w:marTop w:val="0"/>
          <w:marBottom w:val="0"/>
          <w:divBdr>
            <w:top w:val="none" w:sz="0" w:space="0" w:color="auto"/>
            <w:left w:val="none" w:sz="0" w:space="0" w:color="auto"/>
            <w:bottom w:val="none" w:sz="0" w:space="0" w:color="auto"/>
            <w:right w:val="none" w:sz="0" w:space="0" w:color="auto"/>
          </w:divBdr>
        </w:div>
      </w:divsChild>
    </w:div>
    <w:div w:id="282002944">
      <w:bodyDiv w:val="1"/>
      <w:marLeft w:val="0"/>
      <w:marRight w:val="0"/>
      <w:marTop w:val="0"/>
      <w:marBottom w:val="0"/>
      <w:divBdr>
        <w:top w:val="none" w:sz="0" w:space="0" w:color="auto"/>
        <w:left w:val="none" w:sz="0" w:space="0" w:color="auto"/>
        <w:bottom w:val="none" w:sz="0" w:space="0" w:color="auto"/>
        <w:right w:val="none" w:sz="0" w:space="0" w:color="auto"/>
      </w:divBdr>
      <w:divsChild>
        <w:div w:id="2036078551">
          <w:marLeft w:val="0"/>
          <w:marRight w:val="0"/>
          <w:marTop w:val="0"/>
          <w:marBottom w:val="0"/>
          <w:divBdr>
            <w:top w:val="none" w:sz="0" w:space="0" w:color="auto"/>
            <w:left w:val="none" w:sz="0" w:space="0" w:color="auto"/>
            <w:bottom w:val="none" w:sz="0" w:space="0" w:color="auto"/>
            <w:right w:val="none" w:sz="0" w:space="0" w:color="auto"/>
          </w:divBdr>
        </w:div>
      </w:divsChild>
    </w:div>
    <w:div w:id="432939540">
      <w:bodyDiv w:val="1"/>
      <w:marLeft w:val="0"/>
      <w:marRight w:val="0"/>
      <w:marTop w:val="0"/>
      <w:marBottom w:val="0"/>
      <w:divBdr>
        <w:top w:val="none" w:sz="0" w:space="0" w:color="auto"/>
        <w:left w:val="none" w:sz="0" w:space="0" w:color="auto"/>
        <w:bottom w:val="none" w:sz="0" w:space="0" w:color="auto"/>
        <w:right w:val="none" w:sz="0" w:space="0" w:color="auto"/>
      </w:divBdr>
    </w:div>
    <w:div w:id="481312143">
      <w:bodyDiv w:val="1"/>
      <w:marLeft w:val="0"/>
      <w:marRight w:val="0"/>
      <w:marTop w:val="0"/>
      <w:marBottom w:val="0"/>
      <w:divBdr>
        <w:top w:val="none" w:sz="0" w:space="0" w:color="auto"/>
        <w:left w:val="none" w:sz="0" w:space="0" w:color="auto"/>
        <w:bottom w:val="none" w:sz="0" w:space="0" w:color="auto"/>
        <w:right w:val="none" w:sz="0" w:space="0" w:color="auto"/>
      </w:divBdr>
    </w:div>
    <w:div w:id="583073951">
      <w:bodyDiv w:val="1"/>
      <w:marLeft w:val="0"/>
      <w:marRight w:val="0"/>
      <w:marTop w:val="0"/>
      <w:marBottom w:val="0"/>
      <w:divBdr>
        <w:top w:val="none" w:sz="0" w:space="0" w:color="auto"/>
        <w:left w:val="none" w:sz="0" w:space="0" w:color="auto"/>
        <w:bottom w:val="none" w:sz="0" w:space="0" w:color="auto"/>
        <w:right w:val="none" w:sz="0" w:space="0" w:color="auto"/>
      </w:divBdr>
      <w:divsChild>
        <w:div w:id="1779831139">
          <w:marLeft w:val="0"/>
          <w:marRight w:val="0"/>
          <w:marTop w:val="0"/>
          <w:marBottom w:val="0"/>
          <w:divBdr>
            <w:top w:val="none" w:sz="0" w:space="0" w:color="auto"/>
            <w:left w:val="none" w:sz="0" w:space="0" w:color="auto"/>
            <w:bottom w:val="none" w:sz="0" w:space="0" w:color="auto"/>
            <w:right w:val="none" w:sz="0" w:space="0" w:color="auto"/>
          </w:divBdr>
        </w:div>
      </w:divsChild>
    </w:div>
    <w:div w:id="745611856">
      <w:bodyDiv w:val="1"/>
      <w:marLeft w:val="0"/>
      <w:marRight w:val="0"/>
      <w:marTop w:val="0"/>
      <w:marBottom w:val="0"/>
      <w:divBdr>
        <w:top w:val="none" w:sz="0" w:space="0" w:color="auto"/>
        <w:left w:val="none" w:sz="0" w:space="0" w:color="auto"/>
        <w:bottom w:val="none" w:sz="0" w:space="0" w:color="auto"/>
        <w:right w:val="none" w:sz="0" w:space="0" w:color="auto"/>
      </w:divBdr>
    </w:div>
    <w:div w:id="781344719">
      <w:bodyDiv w:val="1"/>
      <w:marLeft w:val="0"/>
      <w:marRight w:val="0"/>
      <w:marTop w:val="0"/>
      <w:marBottom w:val="0"/>
      <w:divBdr>
        <w:top w:val="none" w:sz="0" w:space="0" w:color="auto"/>
        <w:left w:val="none" w:sz="0" w:space="0" w:color="auto"/>
        <w:bottom w:val="none" w:sz="0" w:space="0" w:color="auto"/>
        <w:right w:val="none" w:sz="0" w:space="0" w:color="auto"/>
      </w:divBdr>
      <w:divsChild>
        <w:div w:id="422578745">
          <w:marLeft w:val="0"/>
          <w:marRight w:val="0"/>
          <w:marTop w:val="0"/>
          <w:marBottom w:val="0"/>
          <w:divBdr>
            <w:top w:val="none" w:sz="0" w:space="0" w:color="auto"/>
            <w:left w:val="none" w:sz="0" w:space="0" w:color="auto"/>
            <w:bottom w:val="none" w:sz="0" w:space="0" w:color="auto"/>
            <w:right w:val="none" w:sz="0" w:space="0" w:color="auto"/>
          </w:divBdr>
        </w:div>
        <w:div w:id="1060396379">
          <w:marLeft w:val="0"/>
          <w:marRight w:val="0"/>
          <w:marTop w:val="0"/>
          <w:marBottom w:val="0"/>
          <w:divBdr>
            <w:top w:val="none" w:sz="0" w:space="0" w:color="auto"/>
            <w:left w:val="none" w:sz="0" w:space="0" w:color="auto"/>
            <w:bottom w:val="none" w:sz="0" w:space="0" w:color="auto"/>
            <w:right w:val="none" w:sz="0" w:space="0" w:color="auto"/>
          </w:divBdr>
        </w:div>
        <w:div w:id="1255825574">
          <w:marLeft w:val="0"/>
          <w:marRight w:val="0"/>
          <w:marTop w:val="0"/>
          <w:marBottom w:val="0"/>
          <w:divBdr>
            <w:top w:val="none" w:sz="0" w:space="0" w:color="auto"/>
            <w:left w:val="none" w:sz="0" w:space="0" w:color="auto"/>
            <w:bottom w:val="none" w:sz="0" w:space="0" w:color="auto"/>
            <w:right w:val="none" w:sz="0" w:space="0" w:color="auto"/>
          </w:divBdr>
        </w:div>
        <w:div w:id="1457722351">
          <w:marLeft w:val="0"/>
          <w:marRight w:val="0"/>
          <w:marTop w:val="0"/>
          <w:marBottom w:val="0"/>
          <w:divBdr>
            <w:top w:val="none" w:sz="0" w:space="0" w:color="auto"/>
            <w:left w:val="none" w:sz="0" w:space="0" w:color="auto"/>
            <w:bottom w:val="none" w:sz="0" w:space="0" w:color="auto"/>
            <w:right w:val="none" w:sz="0" w:space="0" w:color="auto"/>
          </w:divBdr>
        </w:div>
        <w:div w:id="1506939524">
          <w:marLeft w:val="0"/>
          <w:marRight w:val="0"/>
          <w:marTop w:val="0"/>
          <w:marBottom w:val="0"/>
          <w:divBdr>
            <w:top w:val="none" w:sz="0" w:space="0" w:color="auto"/>
            <w:left w:val="none" w:sz="0" w:space="0" w:color="auto"/>
            <w:bottom w:val="none" w:sz="0" w:space="0" w:color="auto"/>
            <w:right w:val="none" w:sz="0" w:space="0" w:color="auto"/>
          </w:divBdr>
        </w:div>
        <w:div w:id="1746537695">
          <w:marLeft w:val="0"/>
          <w:marRight w:val="0"/>
          <w:marTop w:val="0"/>
          <w:marBottom w:val="0"/>
          <w:divBdr>
            <w:top w:val="none" w:sz="0" w:space="0" w:color="auto"/>
            <w:left w:val="none" w:sz="0" w:space="0" w:color="auto"/>
            <w:bottom w:val="none" w:sz="0" w:space="0" w:color="auto"/>
            <w:right w:val="none" w:sz="0" w:space="0" w:color="auto"/>
          </w:divBdr>
        </w:div>
        <w:div w:id="1779518631">
          <w:marLeft w:val="0"/>
          <w:marRight w:val="0"/>
          <w:marTop w:val="0"/>
          <w:marBottom w:val="0"/>
          <w:divBdr>
            <w:top w:val="none" w:sz="0" w:space="0" w:color="auto"/>
            <w:left w:val="none" w:sz="0" w:space="0" w:color="auto"/>
            <w:bottom w:val="none" w:sz="0" w:space="0" w:color="auto"/>
            <w:right w:val="none" w:sz="0" w:space="0" w:color="auto"/>
          </w:divBdr>
        </w:div>
        <w:div w:id="1792629802">
          <w:marLeft w:val="0"/>
          <w:marRight w:val="0"/>
          <w:marTop w:val="0"/>
          <w:marBottom w:val="0"/>
          <w:divBdr>
            <w:top w:val="none" w:sz="0" w:space="0" w:color="auto"/>
            <w:left w:val="none" w:sz="0" w:space="0" w:color="auto"/>
            <w:bottom w:val="none" w:sz="0" w:space="0" w:color="auto"/>
            <w:right w:val="none" w:sz="0" w:space="0" w:color="auto"/>
          </w:divBdr>
        </w:div>
        <w:div w:id="2142381316">
          <w:marLeft w:val="0"/>
          <w:marRight w:val="0"/>
          <w:marTop w:val="0"/>
          <w:marBottom w:val="0"/>
          <w:divBdr>
            <w:top w:val="none" w:sz="0" w:space="0" w:color="auto"/>
            <w:left w:val="none" w:sz="0" w:space="0" w:color="auto"/>
            <w:bottom w:val="none" w:sz="0" w:space="0" w:color="auto"/>
            <w:right w:val="none" w:sz="0" w:space="0" w:color="auto"/>
          </w:divBdr>
        </w:div>
      </w:divsChild>
    </w:div>
    <w:div w:id="879317963">
      <w:bodyDiv w:val="1"/>
      <w:marLeft w:val="0"/>
      <w:marRight w:val="0"/>
      <w:marTop w:val="0"/>
      <w:marBottom w:val="0"/>
      <w:divBdr>
        <w:top w:val="none" w:sz="0" w:space="0" w:color="auto"/>
        <w:left w:val="none" w:sz="0" w:space="0" w:color="auto"/>
        <w:bottom w:val="none" w:sz="0" w:space="0" w:color="auto"/>
        <w:right w:val="none" w:sz="0" w:space="0" w:color="auto"/>
      </w:divBdr>
    </w:div>
    <w:div w:id="1110248236">
      <w:bodyDiv w:val="1"/>
      <w:marLeft w:val="0"/>
      <w:marRight w:val="0"/>
      <w:marTop w:val="0"/>
      <w:marBottom w:val="0"/>
      <w:divBdr>
        <w:top w:val="none" w:sz="0" w:space="0" w:color="auto"/>
        <w:left w:val="none" w:sz="0" w:space="0" w:color="auto"/>
        <w:bottom w:val="none" w:sz="0" w:space="0" w:color="auto"/>
        <w:right w:val="none" w:sz="0" w:space="0" w:color="auto"/>
      </w:divBdr>
      <w:divsChild>
        <w:div w:id="1457331745">
          <w:marLeft w:val="547"/>
          <w:marRight w:val="0"/>
          <w:marTop w:val="95"/>
          <w:marBottom w:val="0"/>
          <w:divBdr>
            <w:top w:val="none" w:sz="0" w:space="0" w:color="auto"/>
            <w:left w:val="none" w:sz="0" w:space="0" w:color="auto"/>
            <w:bottom w:val="none" w:sz="0" w:space="0" w:color="auto"/>
            <w:right w:val="none" w:sz="0" w:space="0" w:color="auto"/>
          </w:divBdr>
        </w:div>
        <w:div w:id="694116157">
          <w:marLeft w:val="547"/>
          <w:marRight w:val="0"/>
          <w:marTop w:val="95"/>
          <w:marBottom w:val="0"/>
          <w:divBdr>
            <w:top w:val="none" w:sz="0" w:space="0" w:color="auto"/>
            <w:left w:val="none" w:sz="0" w:space="0" w:color="auto"/>
            <w:bottom w:val="none" w:sz="0" w:space="0" w:color="auto"/>
            <w:right w:val="none" w:sz="0" w:space="0" w:color="auto"/>
          </w:divBdr>
        </w:div>
      </w:divsChild>
    </w:div>
    <w:div w:id="1114986111">
      <w:bodyDiv w:val="1"/>
      <w:marLeft w:val="0"/>
      <w:marRight w:val="0"/>
      <w:marTop w:val="0"/>
      <w:marBottom w:val="0"/>
      <w:divBdr>
        <w:top w:val="none" w:sz="0" w:space="0" w:color="auto"/>
        <w:left w:val="none" w:sz="0" w:space="0" w:color="auto"/>
        <w:bottom w:val="none" w:sz="0" w:space="0" w:color="auto"/>
        <w:right w:val="none" w:sz="0" w:space="0" w:color="auto"/>
      </w:divBdr>
      <w:divsChild>
        <w:div w:id="1926331598">
          <w:marLeft w:val="547"/>
          <w:marRight w:val="0"/>
          <w:marTop w:val="0"/>
          <w:marBottom w:val="0"/>
          <w:divBdr>
            <w:top w:val="none" w:sz="0" w:space="0" w:color="auto"/>
            <w:left w:val="none" w:sz="0" w:space="0" w:color="auto"/>
            <w:bottom w:val="none" w:sz="0" w:space="0" w:color="auto"/>
            <w:right w:val="none" w:sz="0" w:space="0" w:color="auto"/>
          </w:divBdr>
        </w:div>
        <w:div w:id="319232871">
          <w:marLeft w:val="547"/>
          <w:marRight w:val="0"/>
          <w:marTop w:val="0"/>
          <w:marBottom w:val="0"/>
          <w:divBdr>
            <w:top w:val="none" w:sz="0" w:space="0" w:color="auto"/>
            <w:left w:val="none" w:sz="0" w:space="0" w:color="auto"/>
            <w:bottom w:val="none" w:sz="0" w:space="0" w:color="auto"/>
            <w:right w:val="none" w:sz="0" w:space="0" w:color="auto"/>
          </w:divBdr>
        </w:div>
      </w:divsChild>
    </w:div>
    <w:div w:id="1142699975">
      <w:bodyDiv w:val="1"/>
      <w:marLeft w:val="0"/>
      <w:marRight w:val="0"/>
      <w:marTop w:val="0"/>
      <w:marBottom w:val="0"/>
      <w:divBdr>
        <w:top w:val="none" w:sz="0" w:space="0" w:color="auto"/>
        <w:left w:val="none" w:sz="0" w:space="0" w:color="auto"/>
        <w:bottom w:val="none" w:sz="0" w:space="0" w:color="auto"/>
        <w:right w:val="none" w:sz="0" w:space="0" w:color="auto"/>
      </w:divBdr>
    </w:div>
    <w:div w:id="1220284644">
      <w:bodyDiv w:val="1"/>
      <w:marLeft w:val="0"/>
      <w:marRight w:val="0"/>
      <w:marTop w:val="0"/>
      <w:marBottom w:val="0"/>
      <w:divBdr>
        <w:top w:val="none" w:sz="0" w:space="0" w:color="auto"/>
        <w:left w:val="none" w:sz="0" w:space="0" w:color="auto"/>
        <w:bottom w:val="none" w:sz="0" w:space="0" w:color="auto"/>
        <w:right w:val="none" w:sz="0" w:space="0" w:color="auto"/>
      </w:divBdr>
      <w:divsChild>
        <w:div w:id="1911184750">
          <w:marLeft w:val="547"/>
          <w:marRight w:val="0"/>
          <w:marTop w:val="95"/>
          <w:marBottom w:val="0"/>
          <w:divBdr>
            <w:top w:val="none" w:sz="0" w:space="0" w:color="auto"/>
            <w:left w:val="none" w:sz="0" w:space="0" w:color="auto"/>
            <w:bottom w:val="none" w:sz="0" w:space="0" w:color="auto"/>
            <w:right w:val="none" w:sz="0" w:space="0" w:color="auto"/>
          </w:divBdr>
        </w:div>
        <w:div w:id="870338938">
          <w:marLeft w:val="547"/>
          <w:marRight w:val="0"/>
          <w:marTop w:val="95"/>
          <w:marBottom w:val="0"/>
          <w:divBdr>
            <w:top w:val="none" w:sz="0" w:space="0" w:color="auto"/>
            <w:left w:val="none" w:sz="0" w:space="0" w:color="auto"/>
            <w:bottom w:val="none" w:sz="0" w:space="0" w:color="auto"/>
            <w:right w:val="none" w:sz="0" w:space="0" w:color="auto"/>
          </w:divBdr>
        </w:div>
      </w:divsChild>
    </w:div>
    <w:div w:id="132451081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44312617">
          <w:marLeft w:val="0"/>
          <w:marRight w:val="0"/>
          <w:marTop w:val="0"/>
          <w:marBottom w:val="0"/>
          <w:divBdr>
            <w:top w:val="none" w:sz="0" w:space="0" w:color="auto"/>
            <w:left w:val="none" w:sz="0" w:space="0" w:color="auto"/>
            <w:bottom w:val="none" w:sz="0" w:space="0" w:color="auto"/>
            <w:right w:val="none" w:sz="0" w:space="0" w:color="auto"/>
          </w:divBdr>
        </w:div>
      </w:divsChild>
    </w:div>
    <w:div w:id="1475415130">
      <w:bodyDiv w:val="1"/>
      <w:marLeft w:val="0"/>
      <w:marRight w:val="0"/>
      <w:marTop w:val="0"/>
      <w:marBottom w:val="0"/>
      <w:divBdr>
        <w:top w:val="none" w:sz="0" w:space="0" w:color="auto"/>
        <w:left w:val="none" w:sz="0" w:space="0" w:color="auto"/>
        <w:bottom w:val="none" w:sz="0" w:space="0" w:color="auto"/>
        <w:right w:val="none" w:sz="0" w:space="0" w:color="auto"/>
      </w:divBdr>
      <w:divsChild>
        <w:div w:id="21563824">
          <w:marLeft w:val="0"/>
          <w:marRight w:val="0"/>
          <w:marTop w:val="0"/>
          <w:marBottom w:val="0"/>
          <w:divBdr>
            <w:top w:val="none" w:sz="0" w:space="0" w:color="auto"/>
            <w:left w:val="none" w:sz="0" w:space="0" w:color="auto"/>
            <w:bottom w:val="none" w:sz="0" w:space="0" w:color="auto"/>
            <w:right w:val="none" w:sz="0" w:space="0" w:color="auto"/>
          </w:divBdr>
        </w:div>
        <w:div w:id="130944521">
          <w:marLeft w:val="0"/>
          <w:marRight w:val="0"/>
          <w:marTop w:val="0"/>
          <w:marBottom w:val="0"/>
          <w:divBdr>
            <w:top w:val="none" w:sz="0" w:space="0" w:color="auto"/>
            <w:left w:val="none" w:sz="0" w:space="0" w:color="auto"/>
            <w:bottom w:val="none" w:sz="0" w:space="0" w:color="auto"/>
            <w:right w:val="none" w:sz="0" w:space="0" w:color="auto"/>
          </w:divBdr>
        </w:div>
        <w:div w:id="275255955">
          <w:marLeft w:val="0"/>
          <w:marRight w:val="0"/>
          <w:marTop w:val="0"/>
          <w:marBottom w:val="0"/>
          <w:divBdr>
            <w:top w:val="none" w:sz="0" w:space="0" w:color="auto"/>
            <w:left w:val="none" w:sz="0" w:space="0" w:color="auto"/>
            <w:bottom w:val="none" w:sz="0" w:space="0" w:color="auto"/>
            <w:right w:val="none" w:sz="0" w:space="0" w:color="auto"/>
          </w:divBdr>
        </w:div>
        <w:div w:id="380329240">
          <w:marLeft w:val="0"/>
          <w:marRight w:val="0"/>
          <w:marTop w:val="0"/>
          <w:marBottom w:val="0"/>
          <w:divBdr>
            <w:top w:val="none" w:sz="0" w:space="0" w:color="auto"/>
            <w:left w:val="none" w:sz="0" w:space="0" w:color="auto"/>
            <w:bottom w:val="none" w:sz="0" w:space="0" w:color="auto"/>
            <w:right w:val="none" w:sz="0" w:space="0" w:color="auto"/>
          </w:divBdr>
        </w:div>
        <w:div w:id="383455370">
          <w:marLeft w:val="0"/>
          <w:marRight w:val="0"/>
          <w:marTop w:val="0"/>
          <w:marBottom w:val="0"/>
          <w:divBdr>
            <w:top w:val="none" w:sz="0" w:space="0" w:color="auto"/>
            <w:left w:val="none" w:sz="0" w:space="0" w:color="auto"/>
            <w:bottom w:val="none" w:sz="0" w:space="0" w:color="auto"/>
            <w:right w:val="none" w:sz="0" w:space="0" w:color="auto"/>
          </w:divBdr>
        </w:div>
        <w:div w:id="421872830">
          <w:marLeft w:val="0"/>
          <w:marRight w:val="0"/>
          <w:marTop w:val="0"/>
          <w:marBottom w:val="0"/>
          <w:divBdr>
            <w:top w:val="none" w:sz="0" w:space="0" w:color="auto"/>
            <w:left w:val="none" w:sz="0" w:space="0" w:color="auto"/>
            <w:bottom w:val="none" w:sz="0" w:space="0" w:color="auto"/>
            <w:right w:val="none" w:sz="0" w:space="0" w:color="auto"/>
          </w:divBdr>
        </w:div>
        <w:div w:id="816149154">
          <w:marLeft w:val="0"/>
          <w:marRight w:val="0"/>
          <w:marTop w:val="0"/>
          <w:marBottom w:val="0"/>
          <w:divBdr>
            <w:top w:val="none" w:sz="0" w:space="0" w:color="auto"/>
            <w:left w:val="none" w:sz="0" w:space="0" w:color="auto"/>
            <w:bottom w:val="none" w:sz="0" w:space="0" w:color="auto"/>
            <w:right w:val="none" w:sz="0" w:space="0" w:color="auto"/>
          </w:divBdr>
        </w:div>
        <w:div w:id="867984283">
          <w:marLeft w:val="0"/>
          <w:marRight w:val="0"/>
          <w:marTop w:val="0"/>
          <w:marBottom w:val="0"/>
          <w:divBdr>
            <w:top w:val="none" w:sz="0" w:space="0" w:color="auto"/>
            <w:left w:val="none" w:sz="0" w:space="0" w:color="auto"/>
            <w:bottom w:val="none" w:sz="0" w:space="0" w:color="auto"/>
            <w:right w:val="none" w:sz="0" w:space="0" w:color="auto"/>
          </w:divBdr>
        </w:div>
        <w:div w:id="991757734">
          <w:marLeft w:val="0"/>
          <w:marRight w:val="0"/>
          <w:marTop w:val="0"/>
          <w:marBottom w:val="0"/>
          <w:divBdr>
            <w:top w:val="none" w:sz="0" w:space="0" w:color="auto"/>
            <w:left w:val="none" w:sz="0" w:space="0" w:color="auto"/>
            <w:bottom w:val="none" w:sz="0" w:space="0" w:color="auto"/>
            <w:right w:val="none" w:sz="0" w:space="0" w:color="auto"/>
          </w:divBdr>
        </w:div>
        <w:div w:id="1062410643">
          <w:marLeft w:val="0"/>
          <w:marRight w:val="0"/>
          <w:marTop w:val="0"/>
          <w:marBottom w:val="0"/>
          <w:divBdr>
            <w:top w:val="none" w:sz="0" w:space="0" w:color="auto"/>
            <w:left w:val="none" w:sz="0" w:space="0" w:color="auto"/>
            <w:bottom w:val="none" w:sz="0" w:space="0" w:color="auto"/>
            <w:right w:val="none" w:sz="0" w:space="0" w:color="auto"/>
          </w:divBdr>
        </w:div>
        <w:div w:id="1208834100">
          <w:marLeft w:val="0"/>
          <w:marRight w:val="0"/>
          <w:marTop w:val="0"/>
          <w:marBottom w:val="0"/>
          <w:divBdr>
            <w:top w:val="none" w:sz="0" w:space="0" w:color="auto"/>
            <w:left w:val="none" w:sz="0" w:space="0" w:color="auto"/>
            <w:bottom w:val="none" w:sz="0" w:space="0" w:color="auto"/>
            <w:right w:val="none" w:sz="0" w:space="0" w:color="auto"/>
          </w:divBdr>
        </w:div>
        <w:div w:id="1235358164">
          <w:marLeft w:val="0"/>
          <w:marRight w:val="0"/>
          <w:marTop w:val="0"/>
          <w:marBottom w:val="0"/>
          <w:divBdr>
            <w:top w:val="none" w:sz="0" w:space="0" w:color="auto"/>
            <w:left w:val="none" w:sz="0" w:space="0" w:color="auto"/>
            <w:bottom w:val="none" w:sz="0" w:space="0" w:color="auto"/>
            <w:right w:val="none" w:sz="0" w:space="0" w:color="auto"/>
          </w:divBdr>
        </w:div>
        <w:div w:id="1486359643">
          <w:marLeft w:val="0"/>
          <w:marRight w:val="0"/>
          <w:marTop w:val="0"/>
          <w:marBottom w:val="0"/>
          <w:divBdr>
            <w:top w:val="none" w:sz="0" w:space="0" w:color="auto"/>
            <w:left w:val="none" w:sz="0" w:space="0" w:color="auto"/>
            <w:bottom w:val="none" w:sz="0" w:space="0" w:color="auto"/>
            <w:right w:val="none" w:sz="0" w:space="0" w:color="auto"/>
          </w:divBdr>
        </w:div>
        <w:div w:id="1541086736">
          <w:marLeft w:val="0"/>
          <w:marRight w:val="0"/>
          <w:marTop w:val="0"/>
          <w:marBottom w:val="0"/>
          <w:divBdr>
            <w:top w:val="none" w:sz="0" w:space="0" w:color="auto"/>
            <w:left w:val="none" w:sz="0" w:space="0" w:color="auto"/>
            <w:bottom w:val="none" w:sz="0" w:space="0" w:color="auto"/>
            <w:right w:val="none" w:sz="0" w:space="0" w:color="auto"/>
          </w:divBdr>
        </w:div>
        <w:div w:id="1572617583">
          <w:marLeft w:val="0"/>
          <w:marRight w:val="0"/>
          <w:marTop w:val="0"/>
          <w:marBottom w:val="0"/>
          <w:divBdr>
            <w:top w:val="none" w:sz="0" w:space="0" w:color="auto"/>
            <w:left w:val="none" w:sz="0" w:space="0" w:color="auto"/>
            <w:bottom w:val="none" w:sz="0" w:space="0" w:color="auto"/>
            <w:right w:val="none" w:sz="0" w:space="0" w:color="auto"/>
          </w:divBdr>
        </w:div>
        <w:div w:id="1753504596">
          <w:marLeft w:val="0"/>
          <w:marRight w:val="0"/>
          <w:marTop w:val="0"/>
          <w:marBottom w:val="0"/>
          <w:divBdr>
            <w:top w:val="none" w:sz="0" w:space="0" w:color="auto"/>
            <w:left w:val="none" w:sz="0" w:space="0" w:color="auto"/>
            <w:bottom w:val="none" w:sz="0" w:space="0" w:color="auto"/>
            <w:right w:val="none" w:sz="0" w:space="0" w:color="auto"/>
          </w:divBdr>
        </w:div>
        <w:div w:id="1917015704">
          <w:marLeft w:val="0"/>
          <w:marRight w:val="0"/>
          <w:marTop w:val="0"/>
          <w:marBottom w:val="0"/>
          <w:divBdr>
            <w:top w:val="none" w:sz="0" w:space="0" w:color="auto"/>
            <w:left w:val="none" w:sz="0" w:space="0" w:color="auto"/>
            <w:bottom w:val="none" w:sz="0" w:space="0" w:color="auto"/>
            <w:right w:val="none" w:sz="0" w:space="0" w:color="auto"/>
          </w:divBdr>
        </w:div>
      </w:divsChild>
    </w:div>
    <w:div w:id="1543786085">
      <w:bodyDiv w:val="1"/>
      <w:marLeft w:val="0"/>
      <w:marRight w:val="0"/>
      <w:marTop w:val="0"/>
      <w:marBottom w:val="0"/>
      <w:divBdr>
        <w:top w:val="none" w:sz="0" w:space="0" w:color="auto"/>
        <w:left w:val="none" w:sz="0" w:space="0" w:color="auto"/>
        <w:bottom w:val="none" w:sz="0" w:space="0" w:color="auto"/>
        <w:right w:val="none" w:sz="0" w:space="0" w:color="auto"/>
      </w:divBdr>
    </w:div>
    <w:div w:id="1752700446">
      <w:bodyDiv w:val="1"/>
      <w:marLeft w:val="0"/>
      <w:marRight w:val="0"/>
      <w:marTop w:val="0"/>
      <w:marBottom w:val="0"/>
      <w:divBdr>
        <w:top w:val="none" w:sz="0" w:space="0" w:color="auto"/>
        <w:left w:val="none" w:sz="0" w:space="0" w:color="auto"/>
        <w:bottom w:val="none" w:sz="0" w:space="0" w:color="auto"/>
        <w:right w:val="none" w:sz="0" w:space="0" w:color="auto"/>
      </w:divBdr>
    </w:div>
    <w:div w:id="1779980530">
      <w:bodyDiv w:val="1"/>
      <w:marLeft w:val="0"/>
      <w:marRight w:val="0"/>
      <w:marTop w:val="0"/>
      <w:marBottom w:val="0"/>
      <w:divBdr>
        <w:top w:val="none" w:sz="0" w:space="0" w:color="auto"/>
        <w:left w:val="none" w:sz="0" w:space="0" w:color="auto"/>
        <w:bottom w:val="none" w:sz="0" w:space="0" w:color="auto"/>
        <w:right w:val="none" w:sz="0" w:space="0" w:color="auto"/>
      </w:divBdr>
    </w:div>
    <w:div w:id="1866209928">
      <w:bodyDiv w:val="1"/>
      <w:marLeft w:val="0"/>
      <w:marRight w:val="0"/>
      <w:marTop w:val="0"/>
      <w:marBottom w:val="0"/>
      <w:divBdr>
        <w:top w:val="none" w:sz="0" w:space="0" w:color="auto"/>
        <w:left w:val="none" w:sz="0" w:space="0" w:color="auto"/>
        <w:bottom w:val="none" w:sz="0" w:space="0" w:color="auto"/>
        <w:right w:val="none" w:sz="0" w:space="0" w:color="auto"/>
      </w:divBdr>
    </w:div>
    <w:div w:id="1959527479">
      <w:bodyDiv w:val="1"/>
      <w:marLeft w:val="0"/>
      <w:marRight w:val="0"/>
      <w:marTop w:val="0"/>
      <w:marBottom w:val="0"/>
      <w:divBdr>
        <w:top w:val="none" w:sz="0" w:space="0" w:color="auto"/>
        <w:left w:val="none" w:sz="0" w:space="0" w:color="auto"/>
        <w:bottom w:val="none" w:sz="0" w:space="0" w:color="auto"/>
        <w:right w:val="none" w:sz="0" w:space="0" w:color="auto"/>
      </w:divBdr>
      <w:divsChild>
        <w:div w:id="820854049">
          <w:marLeft w:val="0"/>
          <w:marRight w:val="0"/>
          <w:marTop w:val="0"/>
          <w:marBottom w:val="0"/>
          <w:divBdr>
            <w:top w:val="none" w:sz="0" w:space="0" w:color="auto"/>
            <w:left w:val="none" w:sz="0" w:space="0" w:color="auto"/>
            <w:bottom w:val="none" w:sz="0" w:space="0" w:color="auto"/>
            <w:right w:val="none" w:sz="0" w:space="0" w:color="auto"/>
          </w:divBdr>
        </w:div>
        <w:div w:id="1068191152">
          <w:marLeft w:val="0"/>
          <w:marRight w:val="0"/>
          <w:marTop w:val="0"/>
          <w:marBottom w:val="0"/>
          <w:divBdr>
            <w:top w:val="none" w:sz="0" w:space="0" w:color="auto"/>
            <w:left w:val="none" w:sz="0" w:space="0" w:color="auto"/>
            <w:bottom w:val="none" w:sz="0" w:space="0" w:color="auto"/>
            <w:right w:val="none" w:sz="0" w:space="0" w:color="auto"/>
          </w:divBdr>
        </w:div>
        <w:div w:id="2120683334">
          <w:marLeft w:val="0"/>
          <w:marRight w:val="0"/>
          <w:marTop w:val="0"/>
          <w:marBottom w:val="0"/>
          <w:divBdr>
            <w:top w:val="none" w:sz="0" w:space="0" w:color="auto"/>
            <w:left w:val="none" w:sz="0" w:space="0" w:color="auto"/>
            <w:bottom w:val="none" w:sz="0" w:space="0" w:color="auto"/>
            <w:right w:val="none" w:sz="0" w:space="0" w:color="auto"/>
          </w:divBdr>
        </w:div>
      </w:divsChild>
    </w:div>
    <w:div w:id="2083528046">
      <w:bodyDiv w:val="1"/>
      <w:marLeft w:val="0"/>
      <w:marRight w:val="0"/>
      <w:marTop w:val="0"/>
      <w:marBottom w:val="0"/>
      <w:divBdr>
        <w:top w:val="none" w:sz="0" w:space="0" w:color="auto"/>
        <w:left w:val="none" w:sz="0" w:space="0" w:color="auto"/>
        <w:bottom w:val="none" w:sz="0" w:space="0" w:color="auto"/>
        <w:right w:val="none" w:sz="0" w:space="0" w:color="auto"/>
      </w:divBdr>
      <w:divsChild>
        <w:div w:id="434595630">
          <w:marLeft w:val="547"/>
          <w:marRight w:val="0"/>
          <w:marTop w:val="0"/>
          <w:marBottom w:val="0"/>
          <w:divBdr>
            <w:top w:val="none" w:sz="0" w:space="0" w:color="auto"/>
            <w:left w:val="none" w:sz="0" w:space="0" w:color="auto"/>
            <w:bottom w:val="none" w:sz="0" w:space="0" w:color="auto"/>
            <w:right w:val="none" w:sz="0" w:space="0" w:color="auto"/>
          </w:divBdr>
        </w:div>
        <w:div w:id="273947848">
          <w:marLeft w:val="547"/>
          <w:marRight w:val="0"/>
          <w:marTop w:val="0"/>
          <w:marBottom w:val="0"/>
          <w:divBdr>
            <w:top w:val="none" w:sz="0" w:space="0" w:color="auto"/>
            <w:left w:val="none" w:sz="0" w:space="0" w:color="auto"/>
            <w:bottom w:val="none" w:sz="0" w:space="0" w:color="auto"/>
            <w:right w:val="none" w:sz="0" w:space="0" w:color="auto"/>
          </w:divBdr>
        </w:div>
        <w:div w:id="1597862855">
          <w:marLeft w:val="547"/>
          <w:marRight w:val="0"/>
          <w:marTop w:val="0"/>
          <w:marBottom w:val="0"/>
          <w:divBdr>
            <w:top w:val="none" w:sz="0" w:space="0" w:color="auto"/>
            <w:left w:val="none" w:sz="0" w:space="0" w:color="auto"/>
            <w:bottom w:val="none" w:sz="0" w:space="0" w:color="auto"/>
            <w:right w:val="none" w:sz="0" w:space="0" w:color="auto"/>
          </w:divBdr>
        </w:div>
        <w:div w:id="1062481993">
          <w:marLeft w:val="547"/>
          <w:marRight w:val="0"/>
          <w:marTop w:val="0"/>
          <w:marBottom w:val="0"/>
          <w:divBdr>
            <w:top w:val="none" w:sz="0" w:space="0" w:color="auto"/>
            <w:left w:val="none" w:sz="0" w:space="0" w:color="auto"/>
            <w:bottom w:val="none" w:sz="0" w:space="0" w:color="auto"/>
            <w:right w:val="none" w:sz="0" w:space="0" w:color="auto"/>
          </w:divBdr>
        </w:div>
      </w:divsChild>
    </w:div>
    <w:div w:id="2108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6802F-066D-44A4-BBED-517F29A72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E0DDF3-AB92-4E9E-8CEF-D00A21D5AA34}">
  <ds:schemaRefs>
    <ds:schemaRef ds:uri="http://schemas.microsoft.com/sharepoint/v3/contenttype/forms"/>
  </ds:schemaRefs>
</ds:datastoreItem>
</file>

<file path=customXml/itemProps3.xml><?xml version="1.0" encoding="utf-8"?>
<ds:datastoreItem xmlns:ds="http://schemas.openxmlformats.org/officeDocument/2006/customXml" ds:itemID="{EF06DC73-D654-4BAD-8E2C-C00BA490C6AC}">
  <ds:schemaRefs>
    <ds:schemaRef ds:uri="http://schemas.microsoft.com/office/2006/documentManagement/types"/>
    <ds:schemaRef ds:uri="http://schemas.microsoft.com/office/2006/metadata/properties"/>
    <ds:schemaRef ds:uri="9de02861-d37b-45f9-8aec-d635357453ce"/>
    <ds:schemaRef ds:uri="http://www.w3.org/XML/1998/namespace"/>
    <ds:schemaRef ds:uri="http://purl.org/dc/elements/1.1/"/>
    <ds:schemaRef ds:uri="http://schemas.microsoft.com/office/infopath/2007/PartnerControls"/>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FF2CEB25-3A76-435D-B95F-78A0B25C37C4}">
  <ds:schemaRefs>
    <ds:schemaRef ds:uri="http://schemas.openxmlformats.org/officeDocument/2006/bibliography"/>
  </ds:schemaRefs>
</ds:datastoreItem>
</file>

<file path=docMetadata/LabelInfo.xml><?xml version="1.0" encoding="utf-8"?>
<clbl:labelList xmlns:clbl="http://schemas.microsoft.com/office/2020/mipLabelMetadata">
  <clbl:label id="{5a399f59-4fb0-4c58-b63e-f94bfc24371c}" enabled="0" method="" siteId="{5a399f59-4fb0-4c58-b63e-f94bfc24371c}" removed="1"/>
</clbl:labelList>
</file>

<file path=docProps/app.xml><?xml version="1.0" encoding="utf-8"?>
<Properties xmlns="http://schemas.openxmlformats.org/officeDocument/2006/extended-properties" xmlns:vt="http://schemas.openxmlformats.org/officeDocument/2006/docPropsVTypes">
  <Template>Normal</Template>
  <TotalTime>100</TotalTime>
  <Pages>5</Pages>
  <Words>3085</Words>
  <Characters>16971</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20016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GRABETTE Romain</dc:creator>
  <cp:lastModifiedBy>CAILLAUD Bertille</cp:lastModifiedBy>
  <cp:revision>29</cp:revision>
  <cp:lastPrinted>2021-08-12T10:04:00Z</cp:lastPrinted>
  <dcterms:created xsi:type="dcterms:W3CDTF">2022-04-19T10:57:00Z</dcterms:created>
  <dcterms:modified xsi:type="dcterms:W3CDTF">2022-12-01T13:46:00Z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30800</vt:r8>
  </property>
</Properties>
</file>